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07D1" w14:textId="77777777" w:rsidR="00C575B1" w:rsidRDefault="00C575B1" w:rsidP="00C575B1">
      <w:pPr>
        <w:rPr>
          <w:sz w:val="23"/>
        </w:rPr>
      </w:pPr>
      <w:bookmarkStart w:id="0" w:name="_Hlk204862221"/>
      <w:bookmarkEnd w:id="0"/>
    </w:p>
    <w:p w14:paraId="414CC0A8" w14:textId="77777777" w:rsidR="00C575B1"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rPr>
      </w:pPr>
    </w:p>
    <w:p w14:paraId="3887BDCE"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jc w:val="center"/>
        <w:rPr>
          <w:sz w:val="23"/>
        </w:rPr>
      </w:pPr>
      <w:r w:rsidRPr="000B71A9">
        <w:rPr>
          <w:noProof/>
          <w:sz w:val="23"/>
        </w:rPr>
        <w:drawing>
          <wp:inline distT="0" distB="0" distL="0" distR="0" wp14:anchorId="548ED1AC" wp14:editId="060E8C6E">
            <wp:extent cx="4343400" cy="971550"/>
            <wp:effectExtent l="0" t="0" r="0" b="0"/>
            <wp:docPr id="2007641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971550"/>
                    </a:xfrm>
                    <a:prstGeom prst="rect">
                      <a:avLst/>
                    </a:prstGeom>
                    <a:noFill/>
                    <a:ln>
                      <a:noFill/>
                    </a:ln>
                  </pic:spPr>
                </pic:pic>
              </a:graphicData>
            </a:graphic>
          </wp:inline>
        </w:drawing>
      </w:r>
    </w:p>
    <w:p w14:paraId="4A895A55"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highlight w:val="cyan"/>
        </w:rPr>
      </w:pPr>
    </w:p>
    <w:p w14:paraId="125B4832"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highlight w:val="cyan"/>
        </w:rPr>
      </w:pPr>
    </w:p>
    <w:p w14:paraId="52ED6D6C"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highlight w:val="cyan"/>
        </w:rPr>
      </w:pPr>
      <w:r w:rsidRPr="000B71A9">
        <w:rPr>
          <w:noProof/>
          <w:sz w:val="23"/>
          <w:highlight w:val="cyan"/>
        </w:rPr>
        <w:drawing>
          <wp:inline distT="0" distB="0" distL="0" distR="0" wp14:anchorId="772DFC60" wp14:editId="3A37D35B">
            <wp:extent cx="6124575" cy="4210050"/>
            <wp:effectExtent l="0" t="0" r="0" b="0"/>
            <wp:docPr id="1154585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4210050"/>
                    </a:xfrm>
                    <a:prstGeom prst="rect">
                      <a:avLst/>
                    </a:prstGeom>
                    <a:noFill/>
                    <a:ln>
                      <a:noFill/>
                    </a:ln>
                  </pic:spPr>
                </pic:pic>
              </a:graphicData>
            </a:graphic>
          </wp:inline>
        </w:drawing>
      </w:r>
    </w:p>
    <w:p w14:paraId="798B981B"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highlight w:val="cyan"/>
        </w:rPr>
      </w:pPr>
    </w:p>
    <w:p w14:paraId="7B5735C5"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highlight w:val="cyan"/>
        </w:rPr>
      </w:pPr>
    </w:p>
    <w:p w14:paraId="5BB6D168"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highlight w:val="cyan"/>
        </w:rPr>
      </w:pPr>
    </w:p>
    <w:p w14:paraId="0F8C72F4" w14:textId="7198EFED" w:rsidR="00C575B1" w:rsidRPr="000B71A9" w:rsidRDefault="00C575B1" w:rsidP="00C575B1">
      <w:pPr>
        <w:pStyle w:val="BodyText"/>
        <w:pBdr>
          <w:top w:val="thinThickLargeGap" w:sz="24" w:space="1" w:color="auto"/>
          <w:left w:val="thinThickLargeGap" w:sz="24" w:space="4" w:color="auto"/>
          <w:bottom w:val="thickThinLargeGap" w:sz="24" w:space="0" w:color="auto"/>
          <w:right w:val="thickThinLargeGap" w:sz="24" w:space="4" w:color="auto"/>
        </w:pBdr>
        <w:ind w:firstLine="720"/>
        <w:jc w:val="center"/>
        <w:rPr>
          <w:b w:val="0"/>
          <w:sz w:val="69"/>
        </w:rPr>
      </w:pPr>
      <w:r>
        <w:rPr>
          <w:b w:val="0"/>
          <w:sz w:val="69"/>
        </w:rPr>
        <w:t xml:space="preserve">Draft </w:t>
      </w:r>
      <w:r w:rsidRPr="000B71A9">
        <w:rPr>
          <w:b w:val="0"/>
          <w:sz w:val="69"/>
        </w:rPr>
        <w:t>Statement of Accounts</w:t>
      </w:r>
    </w:p>
    <w:p w14:paraId="1A22AAE6" w14:textId="2E297505"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jc w:val="center"/>
        <w:rPr>
          <w:sz w:val="56"/>
          <w:szCs w:val="56"/>
        </w:rPr>
      </w:pPr>
      <w:r w:rsidRPr="000B71A9">
        <w:rPr>
          <w:sz w:val="69"/>
        </w:rPr>
        <w:t>202</w:t>
      </w:r>
      <w:r>
        <w:rPr>
          <w:sz w:val="69"/>
        </w:rPr>
        <w:t>5</w:t>
      </w:r>
      <w:r w:rsidRPr="000B71A9">
        <w:rPr>
          <w:sz w:val="69"/>
        </w:rPr>
        <w:t>/2</w:t>
      </w:r>
      <w:r>
        <w:rPr>
          <w:sz w:val="69"/>
        </w:rPr>
        <w:t>6</w:t>
      </w:r>
    </w:p>
    <w:p w14:paraId="3F02EC22"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jc w:val="center"/>
        <w:rPr>
          <w:sz w:val="56"/>
          <w:szCs w:val="56"/>
        </w:rPr>
      </w:pPr>
    </w:p>
    <w:p w14:paraId="6E299F21"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40"/>
        </w:rPr>
      </w:pPr>
      <w:r w:rsidRPr="000B71A9">
        <w:rPr>
          <w:sz w:val="40"/>
        </w:rPr>
        <w:tab/>
      </w:r>
      <w:r w:rsidRPr="000B71A9">
        <w:rPr>
          <w:sz w:val="40"/>
        </w:rPr>
        <w:tab/>
      </w:r>
      <w:r w:rsidRPr="000B71A9">
        <w:rPr>
          <w:sz w:val="40"/>
        </w:rPr>
        <w:tab/>
      </w:r>
      <w:r w:rsidRPr="000B71A9">
        <w:rPr>
          <w:sz w:val="40"/>
        </w:rPr>
        <w:tab/>
      </w:r>
    </w:p>
    <w:p w14:paraId="4DCA9977" w14:textId="77777777" w:rsidR="00C575B1" w:rsidRPr="000B71A9" w:rsidRDefault="00C575B1" w:rsidP="00C575B1">
      <w:pPr>
        <w:pBdr>
          <w:top w:val="thinThickLargeGap" w:sz="24" w:space="1" w:color="auto"/>
          <w:left w:val="thinThickLargeGap" w:sz="24" w:space="4" w:color="auto"/>
          <w:bottom w:val="thickThinLargeGap" w:sz="24" w:space="0" w:color="auto"/>
          <w:right w:val="thickThinLargeGap" w:sz="24" w:space="4" w:color="auto"/>
        </w:pBdr>
        <w:rPr>
          <w:sz w:val="23"/>
        </w:rPr>
      </w:pPr>
      <w:r w:rsidRPr="000B71A9">
        <w:rPr>
          <w:sz w:val="23"/>
        </w:rPr>
        <w:tab/>
      </w:r>
      <w:r w:rsidRPr="000B71A9">
        <w:rPr>
          <w:sz w:val="23"/>
        </w:rPr>
        <w:tab/>
      </w:r>
      <w:r w:rsidRPr="000B71A9">
        <w:rPr>
          <w:sz w:val="23"/>
        </w:rPr>
        <w:tab/>
      </w:r>
      <w:r w:rsidRPr="000B71A9">
        <w:rPr>
          <w:sz w:val="23"/>
        </w:rPr>
        <w:tab/>
      </w:r>
      <w:r w:rsidRPr="000B71A9">
        <w:rPr>
          <w:sz w:val="23"/>
        </w:rPr>
        <w:tab/>
      </w:r>
      <w:r w:rsidRPr="000B71A9">
        <w:rPr>
          <w:sz w:val="23"/>
        </w:rPr>
        <w:tab/>
      </w:r>
      <w:r w:rsidRPr="000B71A9">
        <w:rPr>
          <w:sz w:val="23"/>
        </w:rPr>
        <w:tab/>
      </w:r>
      <w:r w:rsidRPr="000B71A9">
        <w:rPr>
          <w:sz w:val="23"/>
        </w:rPr>
        <w:tab/>
      </w:r>
      <w:r w:rsidRPr="000B71A9">
        <w:rPr>
          <w:sz w:val="23"/>
        </w:rPr>
        <w:tab/>
      </w:r>
    </w:p>
    <w:p w14:paraId="5B552912" w14:textId="77777777" w:rsidR="00386757" w:rsidRPr="00183434" w:rsidRDefault="00386757" w:rsidP="00183434">
      <w:pPr>
        <w:jc w:val="both"/>
        <w:rPr>
          <w:rFonts w:cs="Arial"/>
          <w:sz w:val="23"/>
          <w:szCs w:val="23"/>
          <w:highlight w:val="cyan"/>
        </w:rPr>
      </w:pPr>
    </w:p>
    <w:p w14:paraId="6CAB10E3" w14:textId="5861FD95" w:rsidR="00183434" w:rsidRDefault="00183434">
      <w:pPr>
        <w:rPr>
          <w:rFonts w:cs="Arial"/>
          <w:sz w:val="23"/>
          <w:szCs w:val="23"/>
          <w:highlight w:val="cyan"/>
          <w:u w:val="single"/>
        </w:rPr>
      </w:pPr>
      <w:r>
        <w:rPr>
          <w:rFonts w:cs="Arial"/>
          <w:b/>
          <w:sz w:val="23"/>
          <w:szCs w:val="23"/>
          <w:highlight w:val="cyan"/>
        </w:rPr>
        <w:br w:type="page"/>
      </w:r>
    </w:p>
    <w:tbl>
      <w:tblPr>
        <w:tblW w:w="0" w:type="auto"/>
        <w:jc w:val="center"/>
        <w:tblLayout w:type="fixed"/>
        <w:tblLook w:val="0000" w:firstRow="0" w:lastRow="0" w:firstColumn="0" w:lastColumn="0" w:noHBand="0" w:noVBand="0"/>
      </w:tblPr>
      <w:tblGrid>
        <w:gridCol w:w="6804"/>
        <w:gridCol w:w="1030"/>
      </w:tblGrid>
      <w:tr w:rsidR="00386757" w:rsidRPr="00183434" w14:paraId="5FEC8584" w14:textId="77777777">
        <w:trPr>
          <w:trHeight w:val="800"/>
          <w:jc w:val="center"/>
        </w:trPr>
        <w:tc>
          <w:tcPr>
            <w:tcW w:w="6804" w:type="dxa"/>
            <w:vAlign w:val="center"/>
          </w:tcPr>
          <w:p w14:paraId="79B3CF92" w14:textId="77777777" w:rsidR="00386757" w:rsidRPr="00183434" w:rsidRDefault="00386757" w:rsidP="00183434">
            <w:pPr>
              <w:jc w:val="both"/>
              <w:rPr>
                <w:rFonts w:cs="Arial"/>
                <w:b/>
                <w:sz w:val="23"/>
                <w:szCs w:val="23"/>
              </w:rPr>
            </w:pPr>
            <w:r w:rsidRPr="00183434">
              <w:rPr>
                <w:rFonts w:cs="Arial"/>
                <w:b/>
                <w:sz w:val="23"/>
                <w:szCs w:val="23"/>
              </w:rPr>
              <w:lastRenderedPageBreak/>
              <w:t>CONTENTS</w:t>
            </w:r>
          </w:p>
        </w:tc>
        <w:tc>
          <w:tcPr>
            <w:tcW w:w="1030" w:type="dxa"/>
            <w:vAlign w:val="center"/>
          </w:tcPr>
          <w:p w14:paraId="022EFEAB" w14:textId="77777777" w:rsidR="00386757" w:rsidRPr="00183434" w:rsidRDefault="00386757" w:rsidP="00183434">
            <w:pPr>
              <w:jc w:val="both"/>
              <w:rPr>
                <w:rFonts w:cs="Arial"/>
                <w:sz w:val="23"/>
                <w:szCs w:val="23"/>
              </w:rPr>
            </w:pPr>
          </w:p>
        </w:tc>
      </w:tr>
    </w:tbl>
    <w:p w14:paraId="0FCAF6EB" w14:textId="77777777" w:rsidR="00386757" w:rsidRPr="00183434" w:rsidRDefault="00386757" w:rsidP="00183434">
      <w:pPr>
        <w:jc w:val="both"/>
        <w:rPr>
          <w:rFonts w:cs="Arial"/>
          <w:sz w:val="23"/>
          <w:szCs w:val="23"/>
          <w:u w:val="single"/>
        </w:rPr>
      </w:pP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001D52F6" w:rsidRPr="00183434">
        <w:rPr>
          <w:rFonts w:cs="Arial"/>
          <w:sz w:val="23"/>
          <w:szCs w:val="23"/>
        </w:rPr>
        <w:tab/>
      </w:r>
      <w:r w:rsidR="001D52F6" w:rsidRPr="00183434">
        <w:rPr>
          <w:rFonts w:cs="Arial"/>
          <w:sz w:val="23"/>
          <w:szCs w:val="23"/>
          <w:u w:val="single"/>
        </w:rPr>
        <w:t>Pages</w:t>
      </w:r>
      <w:r w:rsidR="001D52F6" w:rsidRPr="00183434">
        <w:rPr>
          <w:rFonts w:cs="Arial"/>
          <w:sz w:val="23"/>
          <w:szCs w:val="23"/>
          <w:u w:val="single"/>
        </w:rPr>
        <w:tab/>
      </w:r>
    </w:p>
    <w:p w14:paraId="786F574E" w14:textId="77777777" w:rsidR="00386757" w:rsidRPr="00183434" w:rsidRDefault="00386757" w:rsidP="00183434">
      <w:pPr>
        <w:jc w:val="both"/>
        <w:rPr>
          <w:rFonts w:cs="Arial"/>
          <w:sz w:val="23"/>
          <w:szCs w:val="23"/>
          <w:u w:val="single"/>
        </w:rPr>
      </w:pPr>
    </w:p>
    <w:p w14:paraId="6275458B" w14:textId="77777777" w:rsidR="00386757" w:rsidRPr="00183434" w:rsidRDefault="00386757" w:rsidP="00183434">
      <w:pPr>
        <w:jc w:val="both"/>
        <w:rPr>
          <w:rFonts w:cs="Arial"/>
          <w:sz w:val="23"/>
          <w:szCs w:val="23"/>
          <w:u w:val="single"/>
        </w:rPr>
      </w:pPr>
    </w:p>
    <w:p w14:paraId="47F9C93A" w14:textId="4D2AD0B9" w:rsidR="00386757" w:rsidRPr="00183434" w:rsidRDefault="007300EB" w:rsidP="00183434">
      <w:pPr>
        <w:ind w:firstLine="720"/>
        <w:jc w:val="both"/>
        <w:rPr>
          <w:rFonts w:cs="Arial"/>
          <w:sz w:val="23"/>
          <w:szCs w:val="23"/>
        </w:rPr>
      </w:pPr>
      <w:r w:rsidRPr="00183434">
        <w:rPr>
          <w:rFonts w:cs="Arial"/>
          <w:sz w:val="23"/>
          <w:szCs w:val="23"/>
        </w:rPr>
        <w:t>Narrative Repor</w:t>
      </w:r>
      <w:r w:rsidR="00B633C5" w:rsidRPr="00183434">
        <w:rPr>
          <w:rFonts w:cs="Arial"/>
          <w:sz w:val="23"/>
          <w:szCs w:val="23"/>
        </w:rPr>
        <w:t>t</w:t>
      </w:r>
      <w:r w:rsidR="00386757" w:rsidRPr="00183434">
        <w:rPr>
          <w:rFonts w:cs="Arial"/>
          <w:sz w:val="23"/>
          <w:szCs w:val="23"/>
        </w:rPr>
        <w:tab/>
      </w:r>
      <w:r w:rsidR="00386757" w:rsidRPr="00183434">
        <w:rPr>
          <w:rFonts w:cs="Arial"/>
          <w:sz w:val="23"/>
          <w:szCs w:val="23"/>
        </w:rPr>
        <w:tab/>
      </w:r>
      <w:r w:rsidRPr="00183434">
        <w:rPr>
          <w:rFonts w:cs="Arial"/>
          <w:sz w:val="23"/>
          <w:szCs w:val="23"/>
        </w:rPr>
        <w:t xml:space="preserve">     </w:t>
      </w:r>
      <w:r w:rsidR="00386757" w:rsidRPr="00183434">
        <w:rPr>
          <w:rFonts w:cs="Arial"/>
          <w:sz w:val="23"/>
          <w:szCs w:val="23"/>
        </w:rPr>
        <w:tab/>
      </w:r>
      <w:r w:rsidR="00386757" w:rsidRPr="00183434">
        <w:rPr>
          <w:rFonts w:cs="Arial"/>
          <w:sz w:val="23"/>
          <w:szCs w:val="23"/>
        </w:rPr>
        <w:tab/>
      </w:r>
      <w:r w:rsidR="00386757" w:rsidRPr="00183434">
        <w:rPr>
          <w:rFonts w:cs="Arial"/>
          <w:sz w:val="23"/>
          <w:szCs w:val="23"/>
        </w:rPr>
        <w:tab/>
      </w:r>
      <w:r w:rsidR="00386757" w:rsidRPr="00183434">
        <w:rPr>
          <w:rFonts w:cs="Arial"/>
          <w:sz w:val="23"/>
          <w:szCs w:val="23"/>
        </w:rPr>
        <w:tab/>
        <w:t xml:space="preserve"> </w:t>
      </w:r>
      <w:r w:rsidRPr="00183434">
        <w:rPr>
          <w:rFonts w:cs="Arial"/>
          <w:sz w:val="23"/>
          <w:szCs w:val="23"/>
        </w:rPr>
        <w:tab/>
      </w:r>
      <w:r w:rsidR="00B633C5" w:rsidRPr="00183434">
        <w:rPr>
          <w:rFonts w:cs="Arial"/>
          <w:sz w:val="23"/>
          <w:szCs w:val="23"/>
        </w:rPr>
        <w:t xml:space="preserve">  </w:t>
      </w:r>
      <w:r w:rsidRPr="00183434">
        <w:rPr>
          <w:rFonts w:cs="Arial"/>
          <w:sz w:val="23"/>
          <w:szCs w:val="23"/>
        </w:rPr>
        <w:t xml:space="preserve"> </w:t>
      </w:r>
      <w:r w:rsidR="00B633C5" w:rsidRPr="00183434">
        <w:rPr>
          <w:rFonts w:cs="Arial"/>
          <w:sz w:val="23"/>
          <w:szCs w:val="23"/>
        </w:rPr>
        <w:tab/>
      </w:r>
      <w:r w:rsidR="00B633C5" w:rsidRPr="00183434">
        <w:rPr>
          <w:rFonts w:cs="Arial"/>
          <w:sz w:val="23"/>
          <w:szCs w:val="23"/>
        </w:rPr>
        <w:tab/>
      </w:r>
      <w:r w:rsidR="00B633C5" w:rsidRPr="00C575B1">
        <w:rPr>
          <w:rFonts w:cs="Arial"/>
          <w:sz w:val="23"/>
          <w:szCs w:val="23"/>
        </w:rPr>
        <w:t>3-1</w:t>
      </w:r>
      <w:r w:rsidR="00C575B1">
        <w:rPr>
          <w:rFonts w:cs="Arial"/>
          <w:sz w:val="23"/>
          <w:szCs w:val="23"/>
        </w:rPr>
        <w:t>2</w:t>
      </w:r>
    </w:p>
    <w:p w14:paraId="54A986D8" w14:textId="77777777" w:rsidR="00386757" w:rsidRPr="00183434" w:rsidRDefault="00386757" w:rsidP="00183434">
      <w:pPr>
        <w:ind w:firstLine="720"/>
        <w:jc w:val="both"/>
        <w:rPr>
          <w:rFonts w:cs="Arial"/>
          <w:sz w:val="23"/>
          <w:szCs w:val="23"/>
          <w:highlight w:val="cyan"/>
        </w:rPr>
      </w:pPr>
    </w:p>
    <w:p w14:paraId="06A6DEF8" w14:textId="625DC2ED" w:rsidR="00386757" w:rsidRPr="00183434" w:rsidRDefault="00723DBD" w:rsidP="00183434">
      <w:pPr>
        <w:ind w:firstLine="720"/>
        <w:jc w:val="both"/>
        <w:rPr>
          <w:rFonts w:cs="Arial"/>
          <w:sz w:val="23"/>
          <w:szCs w:val="23"/>
        </w:rPr>
      </w:pPr>
      <w:r w:rsidRPr="00183434">
        <w:rPr>
          <w:rFonts w:cs="Arial"/>
          <w:sz w:val="23"/>
          <w:szCs w:val="23"/>
        </w:rPr>
        <w:t>Introduction to the Statement of Accounts</w:t>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C575B1">
        <w:rPr>
          <w:rFonts w:cs="Arial"/>
          <w:sz w:val="23"/>
          <w:szCs w:val="23"/>
        </w:rPr>
        <w:t>1</w:t>
      </w:r>
      <w:r w:rsidR="00C575B1" w:rsidRPr="00C575B1">
        <w:rPr>
          <w:rFonts w:cs="Arial"/>
          <w:sz w:val="23"/>
          <w:szCs w:val="23"/>
        </w:rPr>
        <w:t>3</w:t>
      </w:r>
    </w:p>
    <w:p w14:paraId="4AC4830B" w14:textId="77777777" w:rsidR="00386757" w:rsidRPr="00183434" w:rsidRDefault="00386757" w:rsidP="00183434">
      <w:pPr>
        <w:jc w:val="both"/>
        <w:rPr>
          <w:rFonts w:cs="Arial"/>
          <w:sz w:val="23"/>
          <w:szCs w:val="23"/>
        </w:rPr>
      </w:pPr>
      <w:r w:rsidRPr="00183434">
        <w:rPr>
          <w:rFonts w:cs="Arial"/>
          <w:sz w:val="23"/>
          <w:szCs w:val="23"/>
        </w:rPr>
        <w:tab/>
      </w:r>
    </w:p>
    <w:p w14:paraId="6FE42A9D" w14:textId="5B22E6F6" w:rsidR="00386757" w:rsidRPr="00183434" w:rsidRDefault="00386757" w:rsidP="00183434">
      <w:pPr>
        <w:jc w:val="both"/>
        <w:rPr>
          <w:rFonts w:cs="Arial"/>
          <w:sz w:val="23"/>
          <w:szCs w:val="23"/>
        </w:rPr>
      </w:pPr>
      <w:r w:rsidRPr="00183434">
        <w:rPr>
          <w:rFonts w:cs="Arial"/>
          <w:sz w:val="23"/>
          <w:szCs w:val="23"/>
        </w:rPr>
        <w:tab/>
        <w:t>Statement of Responsib</w:t>
      </w:r>
      <w:r w:rsidR="00304F69" w:rsidRPr="00183434">
        <w:rPr>
          <w:rFonts w:cs="Arial"/>
          <w:sz w:val="23"/>
          <w:szCs w:val="23"/>
        </w:rPr>
        <w:t>ilities</w:t>
      </w:r>
      <w:r w:rsidR="00304F69" w:rsidRPr="00183434">
        <w:rPr>
          <w:rFonts w:cs="Arial"/>
          <w:sz w:val="23"/>
          <w:szCs w:val="23"/>
        </w:rPr>
        <w:tab/>
      </w:r>
      <w:r w:rsidR="00304F69" w:rsidRPr="00183434">
        <w:rPr>
          <w:rFonts w:cs="Arial"/>
          <w:sz w:val="23"/>
          <w:szCs w:val="23"/>
        </w:rPr>
        <w:tab/>
      </w:r>
      <w:r w:rsidR="00304F69" w:rsidRPr="00183434">
        <w:rPr>
          <w:rFonts w:cs="Arial"/>
          <w:sz w:val="23"/>
          <w:szCs w:val="23"/>
        </w:rPr>
        <w:tab/>
      </w:r>
      <w:r w:rsidR="00304F69" w:rsidRPr="00183434">
        <w:rPr>
          <w:rFonts w:cs="Arial"/>
          <w:sz w:val="23"/>
          <w:szCs w:val="23"/>
        </w:rPr>
        <w:tab/>
      </w:r>
      <w:r w:rsidR="00304F69"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C575B1">
        <w:rPr>
          <w:rFonts w:cs="Arial"/>
          <w:sz w:val="23"/>
          <w:szCs w:val="23"/>
        </w:rPr>
        <w:t>1</w:t>
      </w:r>
      <w:r w:rsidR="00C575B1" w:rsidRPr="00C575B1">
        <w:rPr>
          <w:rFonts w:cs="Arial"/>
          <w:sz w:val="23"/>
          <w:szCs w:val="23"/>
        </w:rPr>
        <w:t>4</w:t>
      </w:r>
    </w:p>
    <w:p w14:paraId="1F43BF46" w14:textId="77777777" w:rsidR="00386757" w:rsidRPr="00183434" w:rsidRDefault="00386757" w:rsidP="00183434">
      <w:pPr>
        <w:jc w:val="both"/>
        <w:rPr>
          <w:rFonts w:cs="Arial"/>
          <w:sz w:val="23"/>
          <w:szCs w:val="23"/>
          <w:highlight w:val="cyan"/>
        </w:rPr>
      </w:pPr>
    </w:p>
    <w:p w14:paraId="050DAC30" w14:textId="2070D871" w:rsidR="00386757" w:rsidRPr="00183434" w:rsidRDefault="00386757" w:rsidP="00183434">
      <w:pPr>
        <w:ind w:firstLine="720"/>
        <w:jc w:val="both"/>
        <w:rPr>
          <w:rFonts w:cs="Arial"/>
          <w:sz w:val="23"/>
          <w:szCs w:val="23"/>
        </w:rPr>
      </w:pPr>
      <w:r w:rsidRPr="00183434">
        <w:rPr>
          <w:rFonts w:cs="Arial"/>
          <w:sz w:val="23"/>
          <w:szCs w:val="23"/>
        </w:rPr>
        <w:t xml:space="preserve">Annual Governance </w:t>
      </w:r>
      <w:r w:rsidR="00304F69" w:rsidRPr="00183434">
        <w:rPr>
          <w:rFonts w:cs="Arial"/>
          <w:sz w:val="23"/>
          <w:szCs w:val="23"/>
        </w:rPr>
        <w:t>Statement</w:t>
      </w:r>
      <w:r w:rsidR="00304F69" w:rsidRPr="00183434">
        <w:rPr>
          <w:rFonts w:cs="Arial"/>
          <w:sz w:val="23"/>
          <w:szCs w:val="23"/>
        </w:rPr>
        <w:tab/>
      </w:r>
      <w:r w:rsidR="00304F69" w:rsidRPr="00183434">
        <w:rPr>
          <w:rFonts w:cs="Arial"/>
          <w:sz w:val="23"/>
          <w:szCs w:val="23"/>
        </w:rPr>
        <w:tab/>
      </w:r>
      <w:r w:rsidR="00304F69"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C575B1">
        <w:rPr>
          <w:rFonts w:cs="Arial"/>
          <w:sz w:val="23"/>
          <w:szCs w:val="23"/>
        </w:rPr>
        <w:t>1</w:t>
      </w:r>
      <w:r w:rsidR="00C575B1" w:rsidRPr="00C575B1">
        <w:rPr>
          <w:rFonts w:cs="Arial"/>
          <w:sz w:val="23"/>
          <w:szCs w:val="23"/>
        </w:rPr>
        <w:t>5</w:t>
      </w:r>
      <w:r w:rsidR="00B633C5" w:rsidRPr="00C575B1">
        <w:rPr>
          <w:rFonts w:cs="Arial"/>
          <w:sz w:val="23"/>
          <w:szCs w:val="23"/>
        </w:rPr>
        <w:t>-</w:t>
      </w:r>
      <w:r w:rsidR="00D15EDE" w:rsidRPr="00C575B1">
        <w:rPr>
          <w:rFonts w:cs="Arial"/>
          <w:sz w:val="23"/>
          <w:szCs w:val="23"/>
        </w:rPr>
        <w:t>3</w:t>
      </w:r>
      <w:r w:rsidR="00C575B1" w:rsidRPr="00C575B1">
        <w:rPr>
          <w:rFonts w:cs="Arial"/>
          <w:sz w:val="23"/>
          <w:szCs w:val="23"/>
        </w:rPr>
        <w:t>0</w:t>
      </w:r>
    </w:p>
    <w:p w14:paraId="7893530C" w14:textId="77777777" w:rsidR="00386757" w:rsidRPr="00183434" w:rsidRDefault="00386757" w:rsidP="00183434">
      <w:pPr>
        <w:jc w:val="both"/>
        <w:rPr>
          <w:rFonts w:cs="Arial"/>
          <w:sz w:val="23"/>
          <w:szCs w:val="23"/>
          <w:highlight w:val="cyan"/>
        </w:rPr>
      </w:pPr>
    </w:p>
    <w:p w14:paraId="46E5FA9B" w14:textId="77777777" w:rsidR="00997C53" w:rsidRPr="00183434" w:rsidRDefault="00386757" w:rsidP="00183434">
      <w:pPr>
        <w:jc w:val="both"/>
        <w:rPr>
          <w:rFonts w:cs="Arial"/>
          <w:sz w:val="23"/>
          <w:szCs w:val="23"/>
        </w:rPr>
      </w:pPr>
      <w:r w:rsidRPr="00183434">
        <w:rPr>
          <w:rFonts w:cs="Arial"/>
          <w:sz w:val="23"/>
          <w:szCs w:val="23"/>
        </w:rPr>
        <w:tab/>
      </w:r>
      <w:r w:rsidRPr="00183434">
        <w:rPr>
          <w:rFonts w:cs="Arial"/>
          <w:sz w:val="23"/>
          <w:szCs w:val="23"/>
          <w:u w:val="single"/>
        </w:rPr>
        <w:t>Core Financial Statements</w:t>
      </w:r>
      <w:r w:rsidRPr="00183434">
        <w:rPr>
          <w:rFonts w:cs="Arial"/>
          <w:sz w:val="23"/>
          <w:szCs w:val="23"/>
        </w:rPr>
        <w:t>:</w:t>
      </w:r>
    </w:p>
    <w:p w14:paraId="7FCBE0E6" w14:textId="77777777" w:rsidR="00386757" w:rsidRPr="00183434" w:rsidRDefault="00386757" w:rsidP="00183434">
      <w:pPr>
        <w:jc w:val="both"/>
        <w:rPr>
          <w:rFonts w:cs="Arial"/>
          <w:sz w:val="23"/>
          <w:szCs w:val="23"/>
        </w:rPr>
      </w:pPr>
    </w:p>
    <w:p w14:paraId="4B7FDA87" w14:textId="4B13BDF0" w:rsidR="00386757" w:rsidRPr="00C575B1" w:rsidRDefault="00386757" w:rsidP="00183434">
      <w:pPr>
        <w:jc w:val="both"/>
        <w:rPr>
          <w:rFonts w:cs="Arial"/>
          <w:sz w:val="23"/>
          <w:szCs w:val="23"/>
        </w:rPr>
      </w:pPr>
      <w:r w:rsidRPr="00183434">
        <w:rPr>
          <w:rFonts w:cs="Arial"/>
          <w:sz w:val="23"/>
          <w:szCs w:val="23"/>
        </w:rPr>
        <w:tab/>
      </w:r>
      <w:r w:rsidRPr="00183434">
        <w:rPr>
          <w:rFonts w:cs="Arial"/>
          <w:sz w:val="23"/>
          <w:szCs w:val="23"/>
        </w:rPr>
        <w:tab/>
        <w:t>Movement in Res</w:t>
      </w:r>
      <w:r w:rsidR="00997C53" w:rsidRPr="00183434">
        <w:rPr>
          <w:rFonts w:cs="Arial"/>
          <w:sz w:val="23"/>
          <w:szCs w:val="23"/>
        </w:rPr>
        <w:t>erves Statement</w:t>
      </w:r>
      <w:r w:rsidR="00997C53"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183434">
        <w:rPr>
          <w:rFonts w:cs="Arial"/>
          <w:sz w:val="23"/>
          <w:szCs w:val="23"/>
        </w:rPr>
        <w:tab/>
      </w:r>
      <w:r w:rsidR="00997C53" w:rsidRPr="00183434">
        <w:rPr>
          <w:rFonts w:cs="Arial"/>
          <w:sz w:val="23"/>
          <w:szCs w:val="23"/>
        </w:rPr>
        <w:t xml:space="preserve">    </w:t>
      </w:r>
      <w:r w:rsidR="00B633C5" w:rsidRPr="00183434">
        <w:rPr>
          <w:rFonts w:cs="Arial"/>
          <w:sz w:val="23"/>
          <w:szCs w:val="23"/>
        </w:rPr>
        <w:tab/>
      </w:r>
      <w:r w:rsidR="00336A02" w:rsidRPr="00C575B1">
        <w:rPr>
          <w:rFonts w:cs="Arial"/>
          <w:sz w:val="23"/>
          <w:szCs w:val="23"/>
        </w:rPr>
        <w:t>3</w:t>
      </w:r>
      <w:r w:rsidR="00C575B1" w:rsidRPr="00C575B1">
        <w:rPr>
          <w:rFonts w:cs="Arial"/>
          <w:sz w:val="23"/>
          <w:szCs w:val="23"/>
        </w:rPr>
        <w:t>1</w:t>
      </w:r>
      <w:r w:rsidR="00997C53" w:rsidRPr="00C575B1">
        <w:rPr>
          <w:rFonts w:cs="Arial"/>
          <w:sz w:val="23"/>
          <w:szCs w:val="23"/>
        </w:rPr>
        <w:t xml:space="preserve">  </w:t>
      </w:r>
      <w:r w:rsidRPr="00C575B1">
        <w:rPr>
          <w:rFonts w:cs="Arial"/>
          <w:sz w:val="23"/>
          <w:szCs w:val="23"/>
        </w:rPr>
        <w:tab/>
      </w:r>
      <w:r w:rsidR="005C74C3" w:rsidRPr="00C575B1">
        <w:rPr>
          <w:rFonts w:cs="Arial"/>
          <w:sz w:val="23"/>
          <w:szCs w:val="23"/>
        </w:rPr>
        <w:t xml:space="preserve">   </w:t>
      </w:r>
      <w:r w:rsidRPr="00C575B1">
        <w:rPr>
          <w:rFonts w:cs="Arial"/>
          <w:sz w:val="23"/>
          <w:szCs w:val="23"/>
        </w:rPr>
        <w:tab/>
      </w:r>
      <w:r w:rsidRPr="00C575B1">
        <w:rPr>
          <w:rFonts w:cs="Arial"/>
          <w:sz w:val="23"/>
          <w:szCs w:val="23"/>
        </w:rPr>
        <w:tab/>
      </w:r>
      <w:r w:rsidRPr="00C575B1">
        <w:rPr>
          <w:rFonts w:cs="Arial"/>
          <w:sz w:val="23"/>
          <w:szCs w:val="23"/>
        </w:rPr>
        <w:tab/>
      </w:r>
      <w:r w:rsidRPr="00C575B1">
        <w:rPr>
          <w:rFonts w:cs="Arial"/>
          <w:sz w:val="23"/>
          <w:szCs w:val="23"/>
        </w:rPr>
        <w:tab/>
        <w:t xml:space="preserve">   </w:t>
      </w:r>
    </w:p>
    <w:p w14:paraId="02EF5A5E" w14:textId="3ED3396D" w:rsidR="00386757" w:rsidRPr="00183434" w:rsidRDefault="00386757" w:rsidP="00183434">
      <w:pPr>
        <w:jc w:val="both"/>
        <w:rPr>
          <w:rFonts w:cs="Arial"/>
          <w:sz w:val="23"/>
          <w:szCs w:val="23"/>
        </w:rPr>
      </w:pPr>
      <w:r w:rsidRPr="00C575B1">
        <w:rPr>
          <w:rFonts w:cs="Arial"/>
          <w:sz w:val="23"/>
          <w:szCs w:val="23"/>
        </w:rPr>
        <w:tab/>
      </w:r>
      <w:r w:rsidRPr="00C575B1">
        <w:rPr>
          <w:rFonts w:cs="Arial"/>
          <w:sz w:val="23"/>
          <w:szCs w:val="23"/>
        </w:rPr>
        <w:tab/>
        <w:t>Comprehensive Income &amp; E</w:t>
      </w:r>
      <w:r w:rsidR="005C74C3" w:rsidRPr="00C575B1">
        <w:rPr>
          <w:rFonts w:cs="Arial"/>
          <w:sz w:val="23"/>
          <w:szCs w:val="23"/>
        </w:rPr>
        <w:t>xpenditure Statement</w:t>
      </w:r>
      <w:r w:rsidR="005C74C3" w:rsidRPr="00C575B1">
        <w:rPr>
          <w:rFonts w:cs="Arial"/>
          <w:sz w:val="23"/>
          <w:szCs w:val="23"/>
        </w:rPr>
        <w:tab/>
      </w:r>
      <w:r w:rsidR="00B633C5" w:rsidRPr="00C575B1">
        <w:rPr>
          <w:rFonts w:cs="Arial"/>
          <w:sz w:val="23"/>
          <w:szCs w:val="23"/>
        </w:rPr>
        <w:tab/>
      </w:r>
      <w:r w:rsidR="00B633C5" w:rsidRPr="00C575B1">
        <w:rPr>
          <w:rFonts w:cs="Arial"/>
          <w:sz w:val="23"/>
          <w:szCs w:val="23"/>
        </w:rPr>
        <w:tab/>
        <w:t>3</w:t>
      </w:r>
      <w:r w:rsidR="00C575B1" w:rsidRPr="00C575B1">
        <w:rPr>
          <w:rFonts w:cs="Arial"/>
          <w:sz w:val="23"/>
          <w:szCs w:val="23"/>
        </w:rPr>
        <w:t>2</w:t>
      </w:r>
      <w:r w:rsidR="00B633C5" w:rsidRPr="00C575B1">
        <w:rPr>
          <w:rFonts w:cs="Arial"/>
          <w:sz w:val="23"/>
          <w:szCs w:val="23"/>
        </w:rPr>
        <w:t>-3</w:t>
      </w:r>
      <w:r w:rsidR="00C575B1" w:rsidRPr="00C575B1">
        <w:rPr>
          <w:rFonts w:cs="Arial"/>
          <w:sz w:val="23"/>
          <w:szCs w:val="23"/>
        </w:rPr>
        <w:t>3</w:t>
      </w:r>
      <w:r w:rsidRPr="00183434">
        <w:rPr>
          <w:rFonts w:cs="Arial"/>
          <w:sz w:val="23"/>
          <w:szCs w:val="23"/>
        </w:rPr>
        <w:tab/>
        <w:t xml:space="preserve">   </w:t>
      </w:r>
    </w:p>
    <w:p w14:paraId="336A7C26" w14:textId="77777777" w:rsidR="00386757" w:rsidRPr="00183434" w:rsidRDefault="00386757" w:rsidP="00183434">
      <w:pPr>
        <w:jc w:val="both"/>
        <w:rPr>
          <w:rFonts w:cs="Arial"/>
          <w:sz w:val="23"/>
          <w:szCs w:val="23"/>
          <w:highlight w:val="cyan"/>
        </w:rPr>
      </w:pPr>
    </w:p>
    <w:p w14:paraId="172999E6" w14:textId="3C44673F" w:rsidR="005C74C3" w:rsidRPr="00183434" w:rsidRDefault="00386757" w:rsidP="00183434">
      <w:pPr>
        <w:jc w:val="both"/>
        <w:rPr>
          <w:rFonts w:cs="Arial"/>
          <w:sz w:val="23"/>
          <w:szCs w:val="23"/>
        </w:rPr>
      </w:pPr>
      <w:r w:rsidRPr="00183434">
        <w:rPr>
          <w:rFonts w:cs="Arial"/>
          <w:sz w:val="23"/>
          <w:szCs w:val="23"/>
        </w:rPr>
        <w:tab/>
      </w:r>
      <w:r w:rsidRPr="00183434">
        <w:rPr>
          <w:rFonts w:cs="Arial"/>
          <w:sz w:val="23"/>
          <w:szCs w:val="23"/>
        </w:rPr>
        <w:tab/>
      </w:r>
      <w:r w:rsidR="005C74C3" w:rsidRPr="00183434">
        <w:rPr>
          <w:rFonts w:cs="Arial"/>
          <w:sz w:val="23"/>
          <w:szCs w:val="23"/>
        </w:rPr>
        <w:t>Balance Sheet</w:t>
      </w:r>
      <w:r w:rsidR="005C74C3" w:rsidRPr="00183434">
        <w:rPr>
          <w:rFonts w:cs="Arial"/>
          <w:sz w:val="23"/>
          <w:szCs w:val="23"/>
        </w:rPr>
        <w:tab/>
      </w:r>
      <w:r w:rsidR="005C74C3" w:rsidRPr="00183434">
        <w:rPr>
          <w:rFonts w:cs="Arial"/>
          <w:sz w:val="23"/>
          <w:szCs w:val="23"/>
        </w:rPr>
        <w:tab/>
      </w:r>
      <w:r w:rsidR="005C74C3" w:rsidRPr="00183434">
        <w:rPr>
          <w:rFonts w:cs="Arial"/>
          <w:sz w:val="23"/>
          <w:szCs w:val="23"/>
        </w:rPr>
        <w:tab/>
      </w:r>
      <w:r w:rsidR="005C74C3" w:rsidRPr="00183434">
        <w:rPr>
          <w:rFonts w:cs="Arial"/>
          <w:sz w:val="23"/>
          <w:szCs w:val="23"/>
        </w:rPr>
        <w:tab/>
      </w:r>
      <w:r w:rsidR="005C74C3"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183434">
        <w:rPr>
          <w:rFonts w:cs="Arial"/>
          <w:sz w:val="23"/>
          <w:szCs w:val="23"/>
        </w:rPr>
        <w:tab/>
      </w:r>
      <w:r w:rsidR="00B633C5" w:rsidRPr="00C575B1">
        <w:rPr>
          <w:rFonts w:cs="Arial"/>
          <w:sz w:val="23"/>
          <w:szCs w:val="23"/>
        </w:rPr>
        <w:t>3</w:t>
      </w:r>
      <w:r w:rsidR="00C575B1" w:rsidRPr="00C575B1">
        <w:rPr>
          <w:rFonts w:cs="Arial"/>
          <w:sz w:val="23"/>
          <w:szCs w:val="23"/>
        </w:rPr>
        <w:t>4</w:t>
      </w:r>
      <w:r w:rsidR="00C575B1">
        <w:rPr>
          <w:rFonts w:cs="Arial"/>
          <w:sz w:val="23"/>
          <w:szCs w:val="23"/>
        </w:rPr>
        <w:t>-35</w:t>
      </w:r>
    </w:p>
    <w:p w14:paraId="3201B9BD" w14:textId="77777777" w:rsidR="00386757" w:rsidRPr="00183434" w:rsidRDefault="00386757" w:rsidP="00183434">
      <w:pPr>
        <w:jc w:val="both"/>
        <w:rPr>
          <w:rFonts w:cs="Arial"/>
          <w:sz w:val="23"/>
          <w:szCs w:val="23"/>
        </w:rPr>
      </w:pPr>
      <w:r w:rsidRPr="00183434">
        <w:rPr>
          <w:rFonts w:cs="Arial"/>
          <w:sz w:val="23"/>
          <w:szCs w:val="23"/>
        </w:rPr>
        <w:tab/>
        <w:t xml:space="preserve"> </w:t>
      </w:r>
    </w:p>
    <w:p w14:paraId="073F4F72" w14:textId="7562AD3E" w:rsidR="00386757" w:rsidRPr="00183434" w:rsidRDefault="00386757" w:rsidP="00183434">
      <w:pPr>
        <w:ind w:left="720" w:firstLine="720"/>
        <w:jc w:val="both"/>
        <w:rPr>
          <w:rFonts w:cs="Arial"/>
          <w:sz w:val="23"/>
          <w:szCs w:val="23"/>
        </w:rPr>
      </w:pPr>
      <w:r w:rsidRPr="00183434">
        <w:rPr>
          <w:rFonts w:cs="Arial"/>
          <w:sz w:val="23"/>
          <w:szCs w:val="23"/>
        </w:rPr>
        <w:t>C</w:t>
      </w:r>
      <w:r w:rsidR="00997C53" w:rsidRPr="00183434">
        <w:rPr>
          <w:rFonts w:cs="Arial"/>
          <w:sz w:val="23"/>
          <w:szCs w:val="23"/>
        </w:rPr>
        <w:t>ash Flow Statement</w:t>
      </w:r>
      <w:r w:rsidR="00997C53" w:rsidRPr="00183434">
        <w:rPr>
          <w:rFonts w:cs="Arial"/>
          <w:sz w:val="23"/>
          <w:szCs w:val="23"/>
        </w:rPr>
        <w:tab/>
      </w:r>
      <w:r w:rsidR="00997C53" w:rsidRPr="00183434">
        <w:rPr>
          <w:rFonts w:cs="Arial"/>
          <w:sz w:val="23"/>
          <w:szCs w:val="23"/>
        </w:rPr>
        <w:tab/>
      </w:r>
      <w:r w:rsidR="00997C53" w:rsidRPr="00183434">
        <w:rPr>
          <w:rFonts w:cs="Arial"/>
          <w:sz w:val="23"/>
          <w:szCs w:val="23"/>
        </w:rPr>
        <w:tab/>
      </w:r>
      <w:r w:rsidR="00997C53" w:rsidRPr="00183434">
        <w:rPr>
          <w:rFonts w:cs="Arial"/>
          <w:sz w:val="23"/>
          <w:szCs w:val="23"/>
        </w:rPr>
        <w:tab/>
      </w:r>
      <w:r w:rsidR="00997C53" w:rsidRPr="00183434">
        <w:rPr>
          <w:rFonts w:cs="Arial"/>
          <w:sz w:val="23"/>
          <w:szCs w:val="23"/>
        </w:rPr>
        <w:tab/>
      </w:r>
      <w:r w:rsidR="00997C53" w:rsidRPr="00183434">
        <w:rPr>
          <w:rFonts w:cs="Arial"/>
          <w:sz w:val="23"/>
          <w:szCs w:val="23"/>
        </w:rPr>
        <w:tab/>
      </w:r>
      <w:r w:rsidR="00B633C5" w:rsidRPr="00183434">
        <w:rPr>
          <w:rFonts w:cs="Arial"/>
          <w:sz w:val="23"/>
          <w:szCs w:val="23"/>
        </w:rPr>
        <w:tab/>
      </w:r>
      <w:r w:rsidR="00C575B1">
        <w:rPr>
          <w:rFonts w:cs="Arial"/>
          <w:sz w:val="23"/>
          <w:szCs w:val="23"/>
        </w:rPr>
        <w:t>36</w:t>
      </w:r>
      <w:r w:rsidRPr="00183434">
        <w:rPr>
          <w:rFonts w:cs="Arial"/>
          <w:sz w:val="23"/>
          <w:szCs w:val="23"/>
        </w:rPr>
        <w:t xml:space="preserve">  </w:t>
      </w:r>
    </w:p>
    <w:p w14:paraId="22D77C57" w14:textId="77777777" w:rsidR="001D52F6" w:rsidRPr="00183434" w:rsidRDefault="001D52F6" w:rsidP="00183434">
      <w:pPr>
        <w:ind w:left="720" w:firstLine="720"/>
        <w:jc w:val="both"/>
        <w:rPr>
          <w:rFonts w:cs="Arial"/>
          <w:sz w:val="23"/>
          <w:szCs w:val="23"/>
        </w:rPr>
      </w:pPr>
    </w:p>
    <w:p w14:paraId="3FC9EAB9" w14:textId="724C0313" w:rsidR="00386757" w:rsidRPr="00C575B1" w:rsidRDefault="00386757" w:rsidP="00183434">
      <w:pPr>
        <w:jc w:val="both"/>
        <w:rPr>
          <w:rFonts w:cs="Arial"/>
          <w:sz w:val="23"/>
          <w:szCs w:val="23"/>
        </w:rPr>
      </w:pPr>
      <w:r w:rsidRPr="00183434">
        <w:rPr>
          <w:rFonts w:cs="Arial"/>
          <w:sz w:val="23"/>
          <w:szCs w:val="23"/>
        </w:rPr>
        <w:tab/>
      </w:r>
      <w:r w:rsidRPr="00C575B1">
        <w:rPr>
          <w:rFonts w:cs="Arial"/>
          <w:sz w:val="23"/>
          <w:szCs w:val="23"/>
        </w:rPr>
        <w:t>Notes to the Core Financial Statements</w:t>
      </w:r>
      <w:r w:rsidR="00B633C5" w:rsidRPr="00C575B1">
        <w:rPr>
          <w:rFonts w:cs="Arial"/>
          <w:sz w:val="23"/>
          <w:szCs w:val="23"/>
        </w:rPr>
        <w:tab/>
      </w:r>
      <w:r w:rsidR="00B633C5" w:rsidRPr="00C575B1">
        <w:rPr>
          <w:rFonts w:cs="Arial"/>
          <w:sz w:val="23"/>
          <w:szCs w:val="23"/>
        </w:rPr>
        <w:tab/>
      </w:r>
      <w:r w:rsidR="00B633C5" w:rsidRPr="00C575B1">
        <w:rPr>
          <w:rFonts w:cs="Arial"/>
          <w:sz w:val="23"/>
          <w:szCs w:val="23"/>
        </w:rPr>
        <w:tab/>
      </w:r>
      <w:r w:rsidR="00B633C5" w:rsidRPr="00C575B1">
        <w:rPr>
          <w:rFonts w:cs="Arial"/>
          <w:sz w:val="23"/>
          <w:szCs w:val="23"/>
        </w:rPr>
        <w:tab/>
      </w:r>
      <w:r w:rsidR="00B633C5" w:rsidRPr="00C575B1">
        <w:rPr>
          <w:rFonts w:cs="Arial"/>
          <w:sz w:val="23"/>
          <w:szCs w:val="23"/>
        </w:rPr>
        <w:tab/>
      </w:r>
      <w:r w:rsidR="00B633C5" w:rsidRPr="00C575B1">
        <w:rPr>
          <w:rFonts w:cs="Arial"/>
          <w:sz w:val="23"/>
          <w:szCs w:val="23"/>
        </w:rPr>
        <w:tab/>
      </w:r>
      <w:r w:rsidR="00C575B1" w:rsidRPr="00C575B1">
        <w:rPr>
          <w:rFonts w:cs="Arial"/>
          <w:sz w:val="23"/>
          <w:szCs w:val="23"/>
        </w:rPr>
        <w:t>37</w:t>
      </w:r>
      <w:r w:rsidR="00B633C5" w:rsidRPr="00C575B1">
        <w:rPr>
          <w:rFonts w:cs="Arial"/>
          <w:sz w:val="23"/>
          <w:szCs w:val="23"/>
        </w:rPr>
        <w:t>-1</w:t>
      </w:r>
      <w:r w:rsidR="008A710B" w:rsidRPr="00C575B1">
        <w:rPr>
          <w:rFonts w:cs="Arial"/>
          <w:sz w:val="23"/>
          <w:szCs w:val="23"/>
        </w:rPr>
        <w:t>0</w:t>
      </w:r>
      <w:r w:rsidR="00C575B1" w:rsidRPr="00C575B1">
        <w:rPr>
          <w:rFonts w:cs="Arial"/>
          <w:sz w:val="23"/>
          <w:szCs w:val="23"/>
        </w:rPr>
        <w:t>4</w:t>
      </w:r>
    </w:p>
    <w:p w14:paraId="403EA23C" w14:textId="77777777" w:rsidR="00386757" w:rsidRPr="00C575B1" w:rsidRDefault="00386757" w:rsidP="00183434">
      <w:pPr>
        <w:jc w:val="both"/>
        <w:rPr>
          <w:rFonts w:cs="Arial"/>
          <w:sz w:val="23"/>
          <w:szCs w:val="23"/>
        </w:rPr>
      </w:pPr>
    </w:p>
    <w:p w14:paraId="3DE2A845" w14:textId="64ED5450" w:rsidR="00997C53" w:rsidRPr="00C575B1" w:rsidRDefault="00386757" w:rsidP="00183434">
      <w:pPr>
        <w:jc w:val="both"/>
        <w:rPr>
          <w:rFonts w:cs="Arial"/>
          <w:sz w:val="23"/>
          <w:szCs w:val="23"/>
        </w:rPr>
      </w:pPr>
      <w:r w:rsidRPr="00C575B1">
        <w:rPr>
          <w:rFonts w:cs="Arial"/>
          <w:sz w:val="23"/>
          <w:szCs w:val="23"/>
        </w:rPr>
        <w:tab/>
        <w:t>Housing Re</w:t>
      </w:r>
      <w:r w:rsidR="00997C53" w:rsidRPr="00C575B1">
        <w:rPr>
          <w:rFonts w:cs="Arial"/>
          <w:sz w:val="23"/>
          <w:szCs w:val="23"/>
        </w:rPr>
        <w:t>venue Account</w:t>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B633C5" w:rsidRPr="00C575B1">
        <w:rPr>
          <w:rFonts w:cs="Arial"/>
          <w:sz w:val="23"/>
          <w:szCs w:val="23"/>
        </w:rPr>
        <w:tab/>
      </w:r>
      <w:r w:rsidR="00B633C5" w:rsidRPr="00C575B1">
        <w:rPr>
          <w:rFonts w:cs="Arial"/>
          <w:sz w:val="23"/>
          <w:szCs w:val="23"/>
        </w:rPr>
        <w:tab/>
      </w:r>
      <w:r w:rsidR="00B633C5" w:rsidRPr="00C575B1">
        <w:rPr>
          <w:rFonts w:cs="Arial"/>
          <w:sz w:val="23"/>
          <w:szCs w:val="23"/>
        </w:rPr>
        <w:tab/>
      </w:r>
      <w:r w:rsidR="00B633C5" w:rsidRPr="00C575B1">
        <w:rPr>
          <w:rFonts w:cs="Arial"/>
          <w:sz w:val="23"/>
          <w:szCs w:val="23"/>
        </w:rPr>
        <w:tab/>
      </w:r>
      <w:r w:rsidR="00860BA0" w:rsidRPr="00C575B1">
        <w:rPr>
          <w:rFonts w:cs="Arial"/>
          <w:sz w:val="23"/>
          <w:szCs w:val="23"/>
        </w:rPr>
        <w:t>1</w:t>
      </w:r>
      <w:r w:rsidR="00C575B1" w:rsidRPr="00C575B1">
        <w:rPr>
          <w:rFonts w:cs="Arial"/>
          <w:sz w:val="23"/>
          <w:szCs w:val="23"/>
        </w:rPr>
        <w:t>05</w:t>
      </w:r>
      <w:r w:rsidR="00B633C5" w:rsidRPr="00C575B1">
        <w:rPr>
          <w:rFonts w:cs="Arial"/>
          <w:sz w:val="23"/>
          <w:szCs w:val="23"/>
        </w:rPr>
        <w:t>-1</w:t>
      </w:r>
      <w:r w:rsidR="00C575B1" w:rsidRPr="00C575B1">
        <w:rPr>
          <w:rFonts w:cs="Arial"/>
          <w:sz w:val="23"/>
          <w:szCs w:val="23"/>
        </w:rPr>
        <w:t>09</w:t>
      </w:r>
    </w:p>
    <w:p w14:paraId="3B5E3C0E" w14:textId="77777777" w:rsidR="00386757" w:rsidRPr="00C575B1" w:rsidRDefault="00386757" w:rsidP="00183434">
      <w:pPr>
        <w:jc w:val="both"/>
        <w:rPr>
          <w:rFonts w:cs="Arial"/>
          <w:sz w:val="23"/>
          <w:szCs w:val="23"/>
        </w:rPr>
      </w:pPr>
    </w:p>
    <w:p w14:paraId="2932A886" w14:textId="2528BE86" w:rsidR="00386757" w:rsidRPr="00183434" w:rsidRDefault="00386757" w:rsidP="00183434">
      <w:pPr>
        <w:jc w:val="both"/>
        <w:rPr>
          <w:rFonts w:cs="Arial"/>
          <w:sz w:val="23"/>
          <w:szCs w:val="23"/>
        </w:rPr>
      </w:pPr>
      <w:r w:rsidRPr="00C575B1">
        <w:rPr>
          <w:rFonts w:cs="Arial"/>
          <w:sz w:val="23"/>
          <w:szCs w:val="23"/>
        </w:rPr>
        <w:tab/>
        <w:t xml:space="preserve">The </w:t>
      </w:r>
      <w:r w:rsidR="00295E1C" w:rsidRPr="00C575B1">
        <w:rPr>
          <w:rFonts w:cs="Arial"/>
          <w:sz w:val="23"/>
          <w:szCs w:val="23"/>
        </w:rPr>
        <w:t>C</w:t>
      </w:r>
      <w:r w:rsidR="00997C53" w:rsidRPr="00C575B1">
        <w:rPr>
          <w:rFonts w:cs="Arial"/>
          <w:sz w:val="23"/>
          <w:szCs w:val="23"/>
        </w:rPr>
        <w:t xml:space="preserve">ollection Fund </w:t>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r>
      <w:r w:rsidR="00997C53" w:rsidRPr="00C575B1">
        <w:rPr>
          <w:rFonts w:cs="Arial"/>
          <w:sz w:val="23"/>
          <w:szCs w:val="23"/>
        </w:rPr>
        <w:tab/>
        <w:t xml:space="preserve">    </w:t>
      </w:r>
      <w:r w:rsidR="00B633C5" w:rsidRPr="00C575B1">
        <w:rPr>
          <w:rFonts w:cs="Arial"/>
          <w:sz w:val="23"/>
          <w:szCs w:val="23"/>
        </w:rPr>
        <w:tab/>
      </w:r>
      <w:r w:rsidR="00B633C5" w:rsidRPr="00EC5DA5">
        <w:rPr>
          <w:rFonts w:cs="Arial"/>
          <w:sz w:val="23"/>
          <w:szCs w:val="23"/>
        </w:rPr>
        <w:t>11</w:t>
      </w:r>
      <w:r w:rsidR="00C575B1" w:rsidRPr="00EC5DA5">
        <w:rPr>
          <w:rFonts w:cs="Arial"/>
          <w:sz w:val="23"/>
          <w:szCs w:val="23"/>
        </w:rPr>
        <w:t>0</w:t>
      </w:r>
      <w:r w:rsidR="00B633C5" w:rsidRPr="00EC5DA5">
        <w:rPr>
          <w:rFonts w:cs="Arial"/>
          <w:sz w:val="23"/>
          <w:szCs w:val="23"/>
        </w:rPr>
        <w:t>-1</w:t>
      </w:r>
      <w:r w:rsidR="00EC5DA5" w:rsidRPr="00EC5DA5">
        <w:rPr>
          <w:rFonts w:cs="Arial"/>
          <w:sz w:val="23"/>
          <w:szCs w:val="23"/>
        </w:rPr>
        <w:t>13</w:t>
      </w:r>
    </w:p>
    <w:p w14:paraId="1777E271" w14:textId="77777777" w:rsidR="007C45B4" w:rsidRPr="00183434" w:rsidRDefault="007C45B4" w:rsidP="00183434">
      <w:pPr>
        <w:jc w:val="both"/>
        <w:rPr>
          <w:rFonts w:cs="Arial"/>
          <w:sz w:val="23"/>
          <w:szCs w:val="23"/>
        </w:rPr>
      </w:pPr>
    </w:p>
    <w:p w14:paraId="6D36C0A5" w14:textId="0C16814C" w:rsidR="00386757" w:rsidRPr="00183434" w:rsidRDefault="00386757" w:rsidP="00183434">
      <w:pPr>
        <w:jc w:val="both"/>
        <w:rPr>
          <w:rFonts w:cs="Arial"/>
          <w:sz w:val="23"/>
          <w:szCs w:val="23"/>
        </w:rPr>
        <w:sectPr w:rsidR="00386757" w:rsidRPr="00183434" w:rsidSect="00810FDA">
          <w:footerReference w:type="even" r:id="rId10"/>
          <w:footerReference w:type="default" r:id="rId11"/>
          <w:footerReference w:type="first" r:id="rId12"/>
          <w:type w:val="nextColumn"/>
          <w:pgSz w:w="11906" w:h="16838" w:code="9"/>
          <w:pgMar w:top="900" w:right="1191" w:bottom="1191" w:left="1191" w:header="720" w:footer="720" w:gutter="0"/>
          <w:pgNumType w:start="1"/>
          <w:cols w:space="720"/>
          <w:titlePg/>
        </w:sectPr>
      </w:pPr>
      <w:r w:rsidRPr="00183434">
        <w:rPr>
          <w:rFonts w:cs="Arial"/>
          <w:sz w:val="23"/>
          <w:szCs w:val="23"/>
        </w:rPr>
        <w:tab/>
        <w:t>Auditor’s Report</w:t>
      </w:r>
      <w:r w:rsidRPr="00183434">
        <w:rPr>
          <w:rFonts w:cs="Arial"/>
          <w:sz w:val="23"/>
          <w:szCs w:val="23"/>
        </w:rPr>
        <w:tab/>
      </w:r>
      <w:r w:rsidRPr="00183434">
        <w:rPr>
          <w:rFonts w:cs="Arial"/>
          <w:sz w:val="23"/>
          <w:szCs w:val="23"/>
        </w:rPr>
        <w:tab/>
      </w:r>
      <w:r w:rsidR="00355B1D" w:rsidRPr="00183434">
        <w:rPr>
          <w:rFonts w:cs="Arial"/>
          <w:sz w:val="23"/>
          <w:szCs w:val="23"/>
        </w:rPr>
        <w:tab/>
      </w:r>
      <w:r w:rsidR="00355B1D" w:rsidRPr="00183434">
        <w:rPr>
          <w:rFonts w:cs="Arial"/>
          <w:sz w:val="23"/>
          <w:szCs w:val="23"/>
        </w:rPr>
        <w:tab/>
      </w:r>
      <w:r w:rsidR="00355B1D" w:rsidRPr="00183434">
        <w:rPr>
          <w:rFonts w:cs="Arial"/>
          <w:sz w:val="23"/>
          <w:szCs w:val="23"/>
        </w:rPr>
        <w:tab/>
      </w:r>
      <w:r w:rsidR="00355B1D" w:rsidRPr="00183434">
        <w:rPr>
          <w:rFonts w:cs="Arial"/>
          <w:sz w:val="23"/>
          <w:szCs w:val="23"/>
        </w:rPr>
        <w:tab/>
      </w:r>
      <w:r w:rsidR="00355B1D" w:rsidRPr="00183434">
        <w:rPr>
          <w:rFonts w:cs="Arial"/>
          <w:sz w:val="23"/>
          <w:szCs w:val="23"/>
        </w:rPr>
        <w:tab/>
      </w:r>
      <w:r w:rsidR="00E875C8" w:rsidRPr="00183434">
        <w:rPr>
          <w:rFonts w:cs="Arial"/>
          <w:sz w:val="23"/>
          <w:szCs w:val="23"/>
        </w:rPr>
        <w:t xml:space="preserve">      </w:t>
      </w:r>
      <w:r w:rsidR="00B91B10" w:rsidRPr="00183434">
        <w:rPr>
          <w:rFonts w:cs="Arial"/>
          <w:sz w:val="23"/>
          <w:szCs w:val="23"/>
        </w:rPr>
        <w:t xml:space="preserve">         </w:t>
      </w:r>
      <w:r w:rsidR="00B633C5" w:rsidRPr="00183434">
        <w:rPr>
          <w:rFonts w:cs="Arial"/>
          <w:sz w:val="23"/>
          <w:szCs w:val="23"/>
        </w:rPr>
        <w:tab/>
      </w:r>
      <w:r w:rsidR="00EC5DA5">
        <w:rPr>
          <w:rFonts w:cs="Arial"/>
          <w:sz w:val="23"/>
          <w:szCs w:val="23"/>
        </w:rPr>
        <w:t>114</w:t>
      </w:r>
    </w:p>
    <w:p w14:paraId="30BE3BB4" w14:textId="77777777" w:rsidR="00183434" w:rsidRPr="00183434" w:rsidRDefault="00183434" w:rsidP="00183434">
      <w:pPr>
        <w:jc w:val="both"/>
        <w:rPr>
          <w:rFonts w:cs="Arial"/>
          <w:b/>
          <w:sz w:val="23"/>
          <w:szCs w:val="23"/>
          <w:u w:val="single"/>
        </w:rPr>
      </w:pPr>
      <w:r w:rsidRPr="00183434">
        <w:rPr>
          <w:rFonts w:cs="Arial"/>
          <w:b/>
          <w:sz w:val="23"/>
          <w:szCs w:val="23"/>
          <w:u w:val="single"/>
        </w:rPr>
        <w:lastRenderedPageBreak/>
        <w:t xml:space="preserve">NARRATIVE REPORT </w:t>
      </w:r>
    </w:p>
    <w:p w14:paraId="0D052469" w14:textId="77777777" w:rsidR="00183434" w:rsidRPr="00183434" w:rsidRDefault="00183434" w:rsidP="00183434">
      <w:pPr>
        <w:jc w:val="both"/>
        <w:rPr>
          <w:rFonts w:cs="Arial"/>
          <w:b/>
          <w:sz w:val="23"/>
          <w:szCs w:val="23"/>
          <w:u w:val="single"/>
        </w:rPr>
      </w:pPr>
    </w:p>
    <w:p w14:paraId="19529694" w14:textId="77777777" w:rsidR="00183434" w:rsidRPr="00183434" w:rsidRDefault="00183434" w:rsidP="00183434">
      <w:pPr>
        <w:jc w:val="both"/>
        <w:rPr>
          <w:rFonts w:cs="Arial"/>
          <w:b/>
          <w:color w:val="45B0E1" w:themeColor="accent1" w:themeTint="99"/>
          <w:sz w:val="23"/>
          <w:szCs w:val="23"/>
          <w:u w:val="single"/>
        </w:rPr>
      </w:pPr>
    </w:p>
    <w:p w14:paraId="10677BB8" w14:textId="77777777" w:rsidR="00183434" w:rsidRPr="00183434" w:rsidRDefault="00183434" w:rsidP="00183434">
      <w:pPr>
        <w:jc w:val="both"/>
        <w:rPr>
          <w:rFonts w:cs="Arial"/>
          <w:b/>
          <w:sz w:val="23"/>
          <w:szCs w:val="23"/>
          <w:u w:val="single"/>
        </w:rPr>
      </w:pPr>
      <w:r w:rsidRPr="00183434">
        <w:rPr>
          <w:rFonts w:cs="Arial"/>
          <w:b/>
          <w:sz w:val="23"/>
          <w:szCs w:val="23"/>
          <w:u w:val="single"/>
        </w:rPr>
        <w:t xml:space="preserve">ABOUT CHESTERFIELD BOROUGH COUNCIL </w:t>
      </w:r>
    </w:p>
    <w:p w14:paraId="6D01EE0D" w14:textId="77777777" w:rsidR="00183434" w:rsidRPr="00183434" w:rsidRDefault="00183434" w:rsidP="00183434">
      <w:pPr>
        <w:jc w:val="both"/>
        <w:rPr>
          <w:rFonts w:cs="Arial"/>
          <w:b/>
          <w:sz w:val="23"/>
          <w:szCs w:val="23"/>
        </w:rPr>
      </w:pPr>
    </w:p>
    <w:p w14:paraId="7E164901" w14:textId="77777777" w:rsidR="00183434" w:rsidRPr="00183434" w:rsidRDefault="00183434" w:rsidP="00183434">
      <w:pPr>
        <w:jc w:val="both"/>
        <w:rPr>
          <w:rFonts w:cs="Arial"/>
          <w:sz w:val="23"/>
          <w:szCs w:val="23"/>
        </w:rPr>
      </w:pPr>
      <w:r w:rsidRPr="00183434">
        <w:rPr>
          <w:rFonts w:cs="Arial"/>
          <w:bCs/>
          <w:sz w:val="23"/>
          <w:szCs w:val="23"/>
        </w:rPr>
        <w:t xml:space="preserve">Chesterfield is a borough council in a two-tier area with seven other district councils and Derbyshire County Council. The Council has 40 elected members serving 16 wards and a population of 103,600 (Census 2021). Chesterfield is the second largest settlement in Derbyshire (Derby City is the largest). Chesterfield borough us relatively compact at 66 square kilometres and is mainly urban. </w:t>
      </w:r>
      <w:r w:rsidRPr="00183434">
        <w:rPr>
          <w:rFonts w:cs="Arial"/>
          <w:sz w:val="23"/>
          <w:szCs w:val="23"/>
        </w:rPr>
        <w:t xml:space="preserve">In addition to Chesterfield, there are several other key neighbourhood centres; the largest being Staveley and </w:t>
      </w:r>
      <w:proofErr w:type="spellStart"/>
      <w:r w:rsidRPr="00183434">
        <w:rPr>
          <w:rFonts w:cs="Arial"/>
          <w:sz w:val="23"/>
          <w:szCs w:val="23"/>
        </w:rPr>
        <w:t>Brimington</w:t>
      </w:r>
      <w:proofErr w:type="spellEnd"/>
      <w:r w:rsidRPr="00183434">
        <w:rPr>
          <w:rFonts w:cs="Arial"/>
          <w:sz w:val="23"/>
          <w:szCs w:val="23"/>
        </w:rPr>
        <w:t>. Staveley lies on the eastern side of the borough, approximately five miles from Chesterfield town centre – it is linked to the M1 and Chesterfield by the A619.</w:t>
      </w:r>
    </w:p>
    <w:p w14:paraId="37FB94F0" w14:textId="77777777" w:rsidR="00183434" w:rsidRPr="00183434" w:rsidRDefault="00183434" w:rsidP="00183434">
      <w:pPr>
        <w:jc w:val="both"/>
        <w:rPr>
          <w:rFonts w:cs="Arial"/>
          <w:bCs/>
          <w:sz w:val="23"/>
          <w:szCs w:val="23"/>
        </w:rPr>
      </w:pPr>
    </w:p>
    <w:p w14:paraId="498D927B" w14:textId="77777777" w:rsidR="00183434" w:rsidRPr="00183434" w:rsidRDefault="00183434" w:rsidP="00183434">
      <w:pPr>
        <w:jc w:val="both"/>
        <w:rPr>
          <w:rFonts w:cs="Arial"/>
          <w:sz w:val="23"/>
          <w:szCs w:val="23"/>
        </w:rPr>
      </w:pPr>
      <w:r w:rsidRPr="00183434">
        <w:rPr>
          <w:rFonts w:cs="Arial"/>
          <w:sz w:val="23"/>
          <w:szCs w:val="23"/>
        </w:rPr>
        <w:t xml:space="preserve">The market town of Chesterfield acts as the sub-regional centre for </w:t>
      </w:r>
      <w:proofErr w:type="gramStart"/>
      <w:r w:rsidRPr="00183434">
        <w:rPr>
          <w:rFonts w:cs="Arial"/>
          <w:sz w:val="23"/>
          <w:szCs w:val="23"/>
        </w:rPr>
        <w:t>North Eastern</w:t>
      </w:r>
      <w:proofErr w:type="gramEnd"/>
      <w:r w:rsidRPr="00183434">
        <w:rPr>
          <w:rFonts w:cs="Arial"/>
          <w:sz w:val="23"/>
          <w:szCs w:val="23"/>
        </w:rPr>
        <w:t xml:space="preserve"> Derbyshire and provides a range of retail, commercial, leisure and cultural facilities. The town is well located on the edge of the Peak District National Park and benefits from easy access to the surrounding cities of Sheffield, Derby, and Nottingham.</w:t>
      </w:r>
    </w:p>
    <w:p w14:paraId="5739439C" w14:textId="77777777" w:rsidR="00183434" w:rsidRPr="00183434" w:rsidRDefault="00183434" w:rsidP="00183434">
      <w:pPr>
        <w:jc w:val="both"/>
        <w:rPr>
          <w:rFonts w:cs="Arial"/>
          <w:sz w:val="23"/>
          <w:szCs w:val="23"/>
          <w:highlight w:val="magent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183434" w:rsidRPr="00183434" w14:paraId="11EBE0B4" w14:textId="77777777" w:rsidTr="00216B4A">
        <w:tc>
          <w:tcPr>
            <w:tcW w:w="4644" w:type="dxa"/>
          </w:tcPr>
          <w:p w14:paraId="4AE3AA16" w14:textId="77777777" w:rsidR="00183434" w:rsidRPr="00183434" w:rsidRDefault="00183434" w:rsidP="00183434">
            <w:pPr>
              <w:jc w:val="both"/>
              <w:rPr>
                <w:rFonts w:cs="Arial"/>
                <w:color w:val="45B0E1" w:themeColor="accent1" w:themeTint="99"/>
                <w:sz w:val="23"/>
                <w:szCs w:val="23"/>
                <w:highlight w:val="cyan"/>
              </w:rPr>
            </w:pPr>
          </w:p>
          <w:p w14:paraId="1B00F5D8" w14:textId="77777777" w:rsidR="00183434" w:rsidRPr="00183434" w:rsidRDefault="00183434" w:rsidP="00183434">
            <w:pPr>
              <w:jc w:val="both"/>
              <w:rPr>
                <w:rFonts w:cs="Arial"/>
                <w:sz w:val="23"/>
                <w:szCs w:val="23"/>
                <w:highlight w:val="cyan"/>
              </w:rPr>
            </w:pPr>
            <w:r w:rsidRPr="00183434">
              <w:rPr>
                <w:rFonts w:cs="Arial"/>
                <w:noProof/>
                <w:sz w:val="23"/>
                <w:szCs w:val="23"/>
                <w:highlight w:val="cyan"/>
              </w:rPr>
              <w:drawing>
                <wp:inline distT="0" distB="0" distL="0" distR="0" wp14:anchorId="24012810" wp14:editId="4459E5AF">
                  <wp:extent cx="2838450" cy="2476500"/>
                  <wp:effectExtent l="0" t="0" r="0" b="0"/>
                  <wp:docPr id="3" name="Picture 2" descr="A church with a clock tower with Church of St Mary and All Saints, Chesterfield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hurch with a clock tower with Church of St Mary and All Saints, Chesterfield in th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76500"/>
                          </a:xfrm>
                          <a:prstGeom prst="rect">
                            <a:avLst/>
                          </a:prstGeom>
                          <a:noFill/>
                          <a:ln>
                            <a:noFill/>
                          </a:ln>
                        </pic:spPr>
                      </pic:pic>
                    </a:graphicData>
                  </a:graphic>
                </wp:inline>
              </w:drawing>
            </w:r>
          </w:p>
        </w:tc>
        <w:tc>
          <w:tcPr>
            <w:tcW w:w="4820" w:type="dxa"/>
          </w:tcPr>
          <w:p w14:paraId="0EE42FDF" w14:textId="77777777" w:rsidR="00183434" w:rsidRPr="00183434" w:rsidRDefault="00183434" w:rsidP="00183434">
            <w:pPr>
              <w:jc w:val="both"/>
              <w:rPr>
                <w:rFonts w:cs="Arial"/>
                <w:sz w:val="23"/>
                <w:szCs w:val="23"/>
                <w:highlight w:val="cyan"/>
              </w:rPr>
            </w:pPr>
          </w:p>
          <w:p w14:paraId="630D2DAA" w14:textId="77777777" w:rsidR="00183434" w:rsidRPr="00183434" w:rsidRDefault="00183434" w:rsidP="00183434">
            <w:pPr>
              <w:jc w:val="both"/>
              <w:rPr>
                <w:rFonts w:cs="Arial"/>
                <w:sz w:val="23"/>
                <w:szCs w:val="23"/>
                <w:highlight w:val="cyan"/>
              </w:rPr>
            </w:pPr>
            <w:r w:rsidRPr="00183434">
              <w:rPr>
                <w:rFonts w:cs="Arial"/>
                <w:noProof/>
                <w:sz w:val="23"/>
                <w:szCs w:val="23"/>
                <w:highlight w:val="cyan"/>
              </w:rPr>
              <w:drawing>
                <wp:inline distT="0" distB="0" distL="0" distR="0" wp14:anchorId="24C5E50A" wp14:editId="56F07989">
                  <wp:extent cx="2924175" cy="2466975"/>
                  <wp:effectExtent l="0" t="0" r="0" b="0"/>
                  <wp:docPr id="4" name="Picture 1" descr="A picture containing map, text,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map, text, atla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2466975"/>
                          </a:xfrm>
                          <a:prstGeom prst="rect">
                            <a:avLst/>
                          </a:prstGeom>
                          <a:noFill/>
                          <a:ln>
                            <a:noFill/>
                          </a:ln>
                        </pic:spPr>
                      </pic:pic>
                    </a:graphicData>
                  </a:graphic>
                </wp:inline>
              </w:drawing>
            </w:r>
          </w:p>
          <w:p w14:paraId="0B9DC0AE" w14:textId="77777777" w:rsidR="00183434" w:rsidRPr="00183434" w:rsidRDefault="00183434" w:rsidP="00183434">
            <w:pPr>
              <w:jc w:val="both"/>
              <w:rPr>
                <w:rFonts w:cs="Arial"/>
                <w:sz w:val="23"/>
                <w:szCs w:val="23"/>
                <w:highlight w:val="cyan"/>
              </w:rPr>
            </w:pPr>
          </w:p>
          <w:p w14:paraId="3DF59898" w14:textId="77777777" w:rsidR="00183434" w:rsidRPr="00183434" w:rsidRDefault="00183434" w:rsidP="00183434">
            <w:pPr>
              <w:jc w:val="both"/>
              <w:rPr>
                <w:rFonts w:cs="Arial"/>
                <w:sz w:val="23"/>
                <w:szCs w:val="23"/>
                <w:highlight w:val="cyan"/>
              </w:rPr>
            </w:pPr>
          </w:p>
        </w:tc>
      </w:tr>
    </w:tbl>
    <w:p w14:paraId="211818EF" w14:textId="77777777" w:rsidR="00183434" w:rsidRPr="00183434" w:rsidRDefault="00183434" w:rsidP="00183434">
      <w:pPr>
        <w:jc w:val="both"/>
        <w:rPr>
          <w:rFonts w:cs="Arial"/>
          <w:sz w:val="23"/>
          <w:szCs w:val="23"/>
          <w:highlight w:val="cyan"/>
        </w:rPr>
      </w:pPr>
    </w:p>
    <w:p w14:paraId="34813D80" w14:textId="77777777" w:rsidR="00183434" w:rsidRPr="00183434" w:rsidRDefault="00183434" w:rsidP="00183434">
      <w:pPr>
        <w:jc w:val="both"/>
        <w:rPr>
          <w:rFonts w:cs="Arial"/>
          <w:sz w:val="23"/>
          <w:szCs w:val="23"/>
        </w:rPr>
      </w:pPr>
    </w:p>
    <w:p w14:paraId="5D212593" w14:textId="77777777" w:rsidR="00183434" w:rsidRPr="00183434" w:rsidRDefault="00183434" w:rsidP="00183434">
      <w:pPr>
        <w:jc w:val="both"/>
        <w:rPr>
          <w:rFonts w:cs="Arial"/>
          <w:bCs/>
          <w:sz w:val="23"/>
          <w:szCs w:val="23"/>
        </w:rPr>
      </w:pPr>
      <w:r w:rsidRPr="00183434">
        <w:rPr>
          <w:rFonts w:cs="Arial"/>
          <w:bCs/>
          <w:sz w:val="23"/>
          <w:szCs w:val="23"/>
        </w:rPr>
        <w:t xml:space="preserve">Chesterfield Borough Council provides over 50 services to our residents for a Band D Council Tax of £196.51 – the second lowest in Derbyshire. Whilst </w:t>
      </w:r>
      <w:proofErr w:type="gramStart"/>
      <w:r w:rsidRPr="00183434">
        <w:rPr>
          <w:rFonts w:cs="Arial"/>
          <w:bCs/>
          <w:sz w:val="23"/>
          <w:szCs w:val="23"/>
        </w:rPr>
        <w:t>the majority of</w:t>
      </w:r>
      <w:proofErr w:type="gramEnd"/>
      <w:r w:rsidRPr="00183434">
        <w:rPr>
          <w:rFonts w:cs="Arial"/>
          <w:bCs/>
          <w:sz w:val="23"/>
          <w:szCs w:val="23"/>
        </w:rPr>
        <w:t xml:space="preserve"> our services are provided in-house, we also have a range of partnership and outsourced provision, with public/public partnership provision for Building Control and Internal Audit and public/private partnership provision for waste and recycling services with Veolia.</w:t>
      </w:r>
    </w:p>
    <w:p w14:paraId="5BAB5C95" w14:textId="77777777" w:rsidR="00183434" w:rsidRPr="00183434" w:rsidRDefault="00183434" w:rsidP="00183434">
      <w:pPr>
        <w:jc w:val="both"/>
        <w:rPr>
          <w:rFonts w:cs="Arial"/>
          <w:bCs/>
          <w:color w:val="45B0E1" w:themeColor="accent1" w:themeTint="99"/>
          <w:sz w:val="23"/>
          <w:szCs w:val="23"/>
          <w:highlight w:val="cyan"/>
        </w:rPr>
      </w:pPr>
    </w:p>
    <w:p w14:paraId="580B9459" w14:textId="77777777" w:rsidR="00183434" w:rsidRPr="00183434" w:rsidRDefault="00183434" w:rsidP="00183434">
      <w:pPr>
        <w:jc w:val="both"/>
        <w:rPr>
          <w:rFonts w:cs="Arial"/>
          <w:bCs/>
          <w:sz w:val="23"/>
          <w:szCs w:val="23"/>
        </w:rPr>
      </w:pPr>
      <w:r w:rsidRPr="00183434">
        <w:rPr>
          <w:rFonts w:cs="Arial"/>
          <w:bCs/>
          <w:sz w:val="23"/>
          <w:szCs w:val="23"/>
        </w:rPr>
        <w:t>Alongside the standard district/borough council services we have worked hard to sustain key assets and facilities for the benefit of our residents, visitors, and businesses. These include:</w:t>
      </w:r>
    </w:p>
    <w:p w14:paraId="4F46FA77"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Our housing service which provides landlord services to just under 9000 households in the Borough (over 20% of the borough’s housing stock)</w:t>
      </w:r>
    </w:p>
    <w:p w14:paraId="710382CA"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 xml:space="preserve">An industrial and commercial property portfolio worth over £130 million </w:t>
      </w:r>
    </w:p>
    <w:p w14:paraId="2EBD7E3D"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 xml:space="preserve">Three innovation centres and incubator offices to support new start-ups with on-site business and innovation advice and support. </w:t>
      </w:r>
    </w:p>
    <w:p w14:paraId="36A0B191"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 xml:space="preserve">Our two sports centres Queen’s Park Sports Centre and the Staveley Healthy Living Centre, alongside other sports pitches/facilities, and green gyms </w:t>
      </w:r>
    </w:p>
    <w:p w14:paraId="4DC8E57C"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 xml:space="preserve">Our award-winning parks and open spaces </w:t>
      </w:r>
    </w:p>
    <w:p w14:paraId="2F18AFC6"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lastRenderedPageBreak/>
        <w:t xml:space="preserve">The Winding Wheel Theatre </w:t>
      </w:r>
    </w:p>
    <w:p w14:paraId="611BFDB8"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Stephenson Memorial Hall – home of the Pomegranate Theatre and Chesterfield Museum</w:t>
      </w:r>
    </w:p>
    <w:p w14:paraId="09E15DEE" w14:textId="77777777" w:rsidR="00183434" w:rsidRPr="00183434" w:rsidRDefault="00183434" w:rsidP="00183434">
      <w:pPr>
        <w:numPr>
          <w:ilvl w:val="1"/>
          <w:numId w:val="41"/>
        </w:numPr>
        <w:jc w:val="both"/>
        <w:rPr>
          <w:rFonts w:cs="Arial"/>
          <w:bCs/>
          <w:sz w:val="23"/>
          <w:szCs w:val="23"/>
        </w:rPr>
      </w:pPr>
      <w:r w:rsidRPr="00183434">
        <w:rPr>
          <w:rFonts w:cs="Arial"/>
          <w:bCs/>
          <w:sz w:val="23"/>
          <w:szCs w:val="23"/>
        </w:rPr>
        <w:t xml:space="preserve">Chesterfield’s outdoor markets and Market Hall </w:t>
      </w:r>
    </w:p>
    <w:p w14:paraId="25DD1E06" w14:textId="77777777" w:rsidR="00183434" w:rsidRPr="00183434" w:rsidRDefault="00183434" w:rsidP="00183434">
      <w:pPr>
        <w:ind w:left="1440"/>
        <w:jc w:val="both"/>
        <w:rPr>
          <w:rFonts w:cs="Arial"/>
          <w:bCs/>
          <w:color w:val="45B0E1" w:themeColor="accent1" w:themeTint="99"/>
          <w:sz w:val="23"/>
          <w:szCs w:val="23"/>
          <w:highlight w:val="cyan"/>
        </w:rPr>
      </w:pPr>
    </w:p>
    <w:p w14:paraId="2ED58640" w14:textId="77777777" w:rsidR="00183434" w:rsidRPr="00183434" w:rsidRDefault="00183434" w:rsidP="00183434">
      <w:pPr>
        <w:jc w:val="both"/>
        <w:rPr>
          <w:rFonts w:cs="Arial"/>
          <w:b/>
          <w:bCs/>
          <w:color w:val="000000" w:themeColor="text1"/>
          <w:sz w:val="23"/>
          <w:szCs w:val="23"/>
        </w:rPr>
      </w:pPr>
      <w:r w:rsidRPr="00183434">
        <w:rPr>
          <w:rFonts w:cs="Arial"/>
          <w:b/>
          <w:bCs/>
          <w:color w:val="000000" w:themeColor="text1"/>
          <w:sz w:val="23"/>
          <w:szCs w:val="23"/>
        </w:rPr>
        <w:t>Political Leadership</w:t>
      </w:r>
    </w:p>
    <w:p w14:paraId="508C1652" w14:textId="77777777" w:rsidR="00183434" w:rsidRPr="00183434" w:rsidRDefault="00183434" w:rsidP="00183434">
      <w:pPr>
        <w:jc w:val="both"/>
        <w:rPr>
          <w:rFonts w:cs="Arial"/>
          <w:b/>
          <w:bCs/>
          <w:color w:val="45B0E1" w:themeColor="accent1" w:themeTint="99"/>
          <w:sz w:val="23"/>
          <w:szCs w:val="23"/>
        </w:rPr>
      </w:pPr>
    </w:p>
    <w:p w14:paraId="29413629" w14:textId="77777777" w:rsidR="00183434" w:rsidRPr="00183434" w:rsidRDefault="00183434" w:rsidP="00183434">
      <w:pPr>
        <w:jc w:val="both"/>
        <w:rPr>
          <w:rFonts w:cs="Arial"/>
          <w:bCs/>
          <w:color w:val="45B0E1" w:themeColor="accent1" w:themeTint="99"/>
          <w:sz w:val="23"/>
          <w:szCs w:val="23"/>
        </w:rPr>
      </w:pPr>
      <w:r w:rsidRPr="00183434">
        <w:rPr>
          <w:rFonts w:cs="Arial"/>
          <w:bCs/>
          <w:color w:val="000000" w:themeColor="text1"/>
          <w:sz w:val="23"/>
          <w:szCs w:val="23"/>
        </w:rPr>
        <w:t>The Council’s policies are determined by its Politicians and implemented by the Corporate Leadership Team</w:t>
      </w:r>
      <w:r w:rsidRPr="00183434">
        <w:rPr>
          <w:rFonts w:cs="Arial"/>
          <w:bCs/>
          <w:color w:val="45B0E1" w:themeColor="accent1" w:themeTint="99"/>
          <w:sz w:val="23"/>
          <w:szCs w:val="23"/>
        </w:rPr>
        <w:t xml:space="preserve">. </w:t>
      </w:r>
    </w:p>
    <w:p w14:paraId="45C78BBA" w14:textId="77777777" w:rsidR="00183434" w:rsidRPr="00183434" w:rsidRDefault="00183434" w:rsidP="00183434">
      <w:pPr>
        <w:jc w:val="both"/>
        <w:rPr>
          <w:rFonts w:cs="Arial"/>
          <w:bCs/>
          <w:color w:val="45B0E1" w:themeColor="accent1" w:themeTint="99"/>
          <w:sz w:val="23"/>
          <w:szCs w:val="23"/>
        </w:rPr>
      </w:pPr>
    </w:p>
    <w:p w14:paraId="13482754" w14:textId="77777777" w:rsidR="00183434" w:rsidRPr="00183434" w:rsidRDefault="00183434" w:rsidP="00183434">
      <w:pPr>
        <w:jc w:val="both"/>
        <w:rPr>
          <w:rFonts w:cs="Arial"/>
          <w:color w:val="000000" w:themeColor="text1"/>
          <w:sz w:val="23"/>
          <w:szCs w:val="23"/>
        </w:rPr>
      </w:pPr>
      <w:r w:rsidRPr="00183434">
        <w:rPr>
          <w:rFonts w:cs="Arial"/>
          <w:bCs/>
          <w:color w:val="000000" w:themeColor="text1"/>
          <w:sz w:val="23"/>
          <w:szCs w:val="23"/>
        </w:rPr>
        <w:t xml:space="preserve">Chesterfield has 16 electoral wards represented by 40 councillors. Following local elections and subsequent by-elections, the Council's political composition in June 2026 comprises 27 Labour councillors, 11 Liberal Democrat councillors and 2 Reform UK councillors. </w:t>
      </w:r>
      <w:r w:rsidRPr="00183434">
        <w:rPr>
          <w:rFonts w:cs="Arial"/>
          <w:color w:val="000000" w:themeColor="text1"/>
          <w:sz w:val="23"/>
          <w:szCs w:val="23"/>
        </w:rPr>
        <w:t xml:space="preserve">The Council operates under a Leader and Cabinet model of governance. The Leader of the Council (Councillor Tricia Gilby) has responsibility for the appointment of Members of the Cabinet, the allocation of Portfolios and the delegation of Executive Functions. The Deputy Leader of the Council, Councillor Amanda Serjeant is also the Cabinet member for Finance and Asset Management. </w:t>
      </w:r>
    </w:p>
    <w:p w14:paraId="5219834D" w14:textId="77777777" w:rsidR="00183434" w:rsidRPr="00183434" w:rsidRDefault="00183434" w:rsidP="00183434">
      <w:pPr>
        <w:ind w:left="720"/>
        <w:jc w:val="both"/>
        <w:rPr>
          <w:rFonts w:cs="Arial"/>
          <w:color w:val="45B0E1" w:themeColor="accent1" w:themeTint="99"/>
          <w:sz w:val="23"/>
          <w:szCs w:val="23"/>
        </w:rPr>
      </w:pPr>
    </w:p>
    <w:p w14:paraId="37CF0D3F" w14:textId="77777777" w:rsidR="00183434" w:rsidRPr="00183434" w:rsidRDefault="00183434" w:rsidP="00183434">
      <w:pPr>
        <w:jc w:val="both"/>
        <w:rPr>
          <w:rFonts w:cs="Arial"/>
          <w:color w:val="000000" w:themeColor="text1"/>
          <w:sz w:val="23"/>
          <w:szCs w:val="23"/>
          <w:highlight w:val="cyan"/>
        </w:rPr>
      </w:pPr>
      <w:r w:rsidRPr="00183434">
        <w:rPr>
          <w:rFonts w:cs="Arial"/>
          <w:color w:val="000000" w:themeColor="text1"/>
          <w:sz w:val="23"/>
          <w:szCs w:val="23"/>
        </w:rPr>
        <w:t xml:space="preserve">Oversight and check and challenge is also performed by the Council’s Scrutiny Select Committee – resilient council. This Overview and Scrutiny Committee review’s the Council’s financial performance and budget position at regular intervals throughout the year. The Council also has an effective Standards and Audit Committee with both Internal Audit and External Audit represented. </w:t>
      </w:r>
    </w:p>
    <w:p w14:paraId="1D3BEF6C" w14:textId="77777777" w:rsidR="00183434" w:rsidRPr="00183434" w:rsidRDefault="00183434" w:rsidP="00183434">
      <w:pPr>
        <w:jc w:val="both"/>
        <w:rPr>
          <w:rFonts w:cs="Arial"/>
          <w:color w:val="45B0E1" w:themeColor="accent1" w:themeTint="99"/>
          <w:sz w:val="23"/>
          <w:szCs w:val="23"/>
        </w:rPr>
      </w:pPr>
    </w:p>
    <w:p w14:paraId="1F5CCB4B" w14:textId="77777777" w:rsidR="00183434" w:rsidRPr="00183434" w:rsidRDefault="00183434" w:rsidP="00183434">
      <w:pPr>
        <w:jc w:val="both"/>
        <w:rPr>
          <w:rFonts w:cs="Arial"/>
          <w:b/>
          <w:bCs/>
          <w:color w:val="000000" w:themeColor="text1"/>
          <w:sz w:val="23"/>
          <w:szCs w:val="23"/>
        </w:rPr>
      </w:pPr>
      <w:r w:rsidRPr="00183434">
        <w:rPr>
          <w:rFonts w:cs="Arial"/>
          <w:b/>
          <w:bCs/>
          <w:color w:val="000000" w:themeColor="text1"/>
          <w:sz w:val="23"/>
          <w:szCs w:val="23"/>
        </w:rPr>
        <w:t>Senior Leadership and Employees</w:t>
      </w:r>
    </w:p>
    <w:p w14:paraId="45EFB38B" w14:textId="77777777" w:rsidR="00183434" w:rsidRPr="00183434" w:rsidRDefault="00183434" w:rsidP="00183434">
      <w:pPr>
        <w:jc w:val="both"/>
        <w:rPr>
          <w:rFonts w:cs="Arial"/>
          <w:b/>
          <w:bCs/>
          <w:color w:val="45B0E1" w:themeColor="accent1" w:themeTint="99"/>
          <w:sz w:val="23"/>
          <w:szCs w:val="23"/>
        </w:rPr>
      </w:pPr>
    </w:p>
    <w:p w14:paraId="17C7B749" w14:textId="77777777" w:rsidR="00183434" w:rsidRPr="00183434" w:rsidRDefault="00183434" w:rsidP="00183434">
      <w:pPr>
        <w:jc w:val="both"/>
        <w:rPr>
          <w:rFonts w:cs="Arial"/>
          <w:color w:val="000000" w:themeColor="text1"/>
          <w:sz w:val="23"/>
          <w:szCs w:val="23"/>
          <w:highlight w:val="cyan"/>
        </w:rPr>
      </w:pPr>
      <w:r w:rsidRPr="00183434">
        <w:rPr>
          <w:rFonts w:cs="Arial"/>
          <w:color w:val="000000" w:themeColor="text1"/>
          <w:sz w:val="23"/>
          <w:szCs w:val="23"/>
        </w:rPr>
        <w:t>The organisational management structure is headed by the Chief Executive, supported by a Deputy Chief Executive and seven Directors (one post was vacant as of 31 March 2026), who form the Corporate Leadership Team.</w:t>
      </w:r>
    </w:p>
    <w:p w14:paraId="63CF328D" w14:textId="77777777" w:rsidR="00183434" w:rsidRPr="00183434" w:rsidRDefault="00183434" w:rsidP="00183434">
      <w:pPr>
        <w:jc w:val="both"/>
        <w:rPr>
          <w:rFonts w:cs="Arial"/>
          <w:color w:val="000000" w:themeColor="text1"/>
          <w:sz w:val="23"/>
          <w:szCs w:val="23"/>
          <w:highlight w:val="cyan"/>
        </w:rPr>
      </w:pPr>
    </w:p>
    <w:p w14:paraId="1ED32C8F"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Chesterfield Borough Council employees over 1,100 people. The Council holds gold standard for Investors in People and Silver standard for the Ministry of Defence Employer Recognition Scheme. The Council has also developed a Workforce Strategy (our People Plan) which recognises the value and importance of Council staff in delivering services and achieving the Council’s priorities. </w:t>
      </w:r>
    </w:p>
    <w:p w14:paraId="26611B8E" w14:textId="77777777" w:rsidR="00183434" w:rsidRPr="00183434" w:rsidRDefault="00183434" w:rsidP="00183434">
      <w:pPr>
        <w:jc w:val="both"/>
        <w:rPr>
          <w:rFonts w:cs="Arial"/>
          <w:color w:val="000000" w:themeColor="text1"/>
          <w:sz w:val="23"/>
          <w:szCs w:val="23"/>
          <w:highlight w:val="cyan"/>
        </w:rPr>
      </w:pPr>
    </w:p>
    <w:p w14:paraId="766AD380"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Our ‘valuing individual performance’ scheme ensures that all employees have a quarterly meeting with their line manager to review their performance against the objectives agreed with them for the previous quarter and to reset objectives for the next quarter (if needed). It is also a great opportunity for the line manager and employee to consider the employee’s personal development needs and discuss ideas for service improvement. This process is supported by regular team meetings.</w:t>
      </w:r>
    </w:p>
    <w:p w14:paraId="7B40C930" w14:textId="77777777" w:rsidR="00183434" w:rsidRPr="00183434" w:rsidRDefault="00183434" w:rsidP="00183434">
      <w:pPr>
        <w:jc w:val="both"/>
        <w:rPr>
          <w:rFonts w:cs="Arial"/>
          <w:color w:val="45B0E1" w:themeColor="accent1" w:themeTint="99"/>
          <w:sz w:val="23"/>
          <w:szCs w:val="23"/>
        </w:rPr>
      </w:pPr>
      <w:r w:rsidRPr="00183434">
        <w:rPr>
          <w:rFonts w:cs="Arial"/>
          <w:color w:val="45B0E1" w:themeColor="accent1" w:themeTint="99"/>
          <w:sz w:val="23"/>
          <w:szCs w:val="23"/>
        </w:rPr>
        <w:t xml:space="preserve"> </w:t>
      </w:r>
    </w:p>
    <w:p w14:paraId="7F7321A8" w14:textId="77777777" w:rsidR="00183434" w:rsidRPr="00183434" w:rsidRDefault="00183434" w:rsidP="00183434">
      <w:pPr>
        <w:jc w:val="both"/>
        <w:rPr>
          <w:rFonts w:cs="Arial"/>
          <w:b/>
          <w:bCs/>
          <w:color w:val="45B0E1" w:themeColor="accent1" w:themeTint="99"/>
          <w:sz w:val="23"/>
          <w:szCs w:val="23"/>
          <w:highlight w:val="cyan"/>
        </w:rPr>
      </w:pPr>
    </w:p>
    <w:p w14:paraId="7EDF2788" w14:textId="77777777" w:rsidR="00183434" w:rsidRPr="00183434" w:rsidRDefault="00183434" w:rsidP="00183434">
      <w:pPr>
        <w:jc w:val="both"/>
        <w:rPr>
          <w:rFonts w:cs="Arial"/>
          <w:b/>
          <w:bCs/>
          <w:color w:val="000000" w:themeColor="text1"/>
          <w:sz w:val="23"/>
          <w:szCs w:val="23"/>
        </w:rPr>
      </w:pPr>
      <w:r w:rsidRPr="00183434">
        <w:rPr>
          <w:rFonts w:cs="Arial"/>
          <w:b/>
          <w:bCs/>
          <w:color w:val="000000" w:themeColor="text1"/>
          <w:sz w:val="23"/>
          <w:szCs w:val="23"/>
        </w:rPr>
        <w:t>Council Plan 2023-2028</w:t>
      </w:r>
    </w:p>
    <w:p w14:paraId="51FC9633" w14:textId="77777777" w:rsidR="00183434" w:rsidRPr="00183434" w:rsidRDefault="00183434" w:rsidP="00183434">
      <w:pPr>
        <w:jc w:val="both"/>
        <w:rPr>
          <w:rFonts w:cs="Arial"/>
          <w:b/>
          <w:bCs/>
          <w:color w:val="000000" w:themeColor="text1"/>
          <w:sz w:val="23"/>
          <w:szCs w:val="23"/>
        </w:rPr>
      </w:pPr>
    </w:p>
    <w:p w14:paraId="621AFDDD"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The key document that frames the actions of the Council is the Council Plan. The Council Plan sets out the Council’s Vision and Priorities, defining what we are trying to achieve and why. </w:t>
      </w:r>
    </w:p>
    <w:p w14:paraId="4089F13C" w14:textId="77777777" w:rsidR="00183434" w:rsidRPr="00183434" w:rsidRDefault="00183434" w:rsidP="00183434">
      <w:pPr>
        <w:jc w:val="both"/>
        <w:rPr>
          <w:rFonts w:cs="Arial"/>
          <w:color w:val="000000" w:themeColor="text1"/>
          <w:sz w:val="23"/>
          <w:szCs w:val="23"/>
          <w:highlight w:val="cyan"/>
        </w:rPr>
      </w:pPr>
    </w:p>
    <w:p w14:paraId="06F85E7F"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A four-year Council Plan was developed and approved at Full Council in February 2023 and covered the period 2023 – 2027. This has recently been refreshed in February 2026 and extended to 2028 to ensure that the Council continues to focus on the vision, priorities, and key deliverables during the local government reorganisation process. The Council Plan is </w:t>
      </w:r>
      <w:r w:rsidRPr="00183434">
        <w:rPr>
          <w:rFonts w:cs="Arial"/>
          <w:color w:val="000000" w:themeColor="text1"/>
          <w:sz w:val="23"/>
          <w:szCs w:val="23"/>
        </w:rPr>
        <w:lastRenderedPageBreak/>
        <w:t>guided by the Council’s Vision which is “Putting Our Communities First.” There are also three corporate priorities that underpin the delivery of the Vision, they are:</w:t>
      </w:r>
    </w:p>
    <w:p w14:paraId="014DDD7F" w14:textId="77777777" w:rsidR="00183434" w:rsidRPr="00183434" w:rsidRDefault="00183434" w:rsidP="00183434">
      <w:pPr>
        <w:jc w:val="both"/>
        <w:rPr>
          <w:rFonts w:cs="Arial"/>
          <w:color w:val="000000" w:themeColor="text1"/>
          <w:sz w:val="23"/>
          <w:szCs w:val="23"/>
        </w:rPr>
      </w:pPr>
    </w:p>
    <w:p w14:paraId="2336FCD2" w14:textId="77777777" w:rsidR="00183434" w:rsidRPr="00183434" w:rsidRDefault="00183434" w:rsidP="00183434">
      <w:pPr>
        <w:numPr>
          <w:ilvl w:val="0"/>
          <w:numId w:val="43"/>
        </w:numPr>
        <w:jc w:val="both"/>
        <w:rPr>
          <w:rFonts w:cs="Arial"/>
          <w:color w:val="000000" w:themeColor="text1"/>
          <w:sz w:val="23"/>
          <w:szCs w:val="23"/>
        </w:rPr>
      </w:pPr>
      <w:r w:rsidRPr="00183434">
        <w:rPr>
          <w:rFonts w:cs="Arial"/>
          <w:color w:val="000000" w:themeColor="text1"/>
          <w:sz w:val="23"/>
          <w:szCs w:val="23"/>
        </w:rPr>
        <w:t>Making Chesterfield a thriving borough</w:t>
      </w:r>
    </w:p>
    <w:p w14:paraId="0F8DDA29" w14:textId="77777777" w:rsidR="00183434" w:rsidRPr="00183434" w:rsidRDefault="00183434" w:rsidP="00183434">
      <w:pPr>
        <w:numPr>
          <w:ilvl w:val="0"/>
          <w:numId w:val="43"/>
        </w:numPr>
        <w:jc w:val="both"/>
        <w:rPr>
          <w:rFonts w:cs="Arial"/>
          <w:color w:val="000000" w:themeColor="text1"/>
          <w:sz w:val="23"/>
          <w:szCs w:val="23"/>
        </w:rPr>
      </w:pPr>
      <w:r w:rsidRPr="00183434">
        <w:rPr>
          <w:rFonts w:cs="Arial"/>
          <w:color w:val="000000" w:themeColor="text1"/>
          <w:sz w:val="23"/>
          <w:szCs w:val="23"/>
        </w:rPr>
        <w:t xml:space="preserve">Improving quality of life for local people </w:t>
      </w:r>
    </w:p>
    <w:p w14:paraId="4FF71C04" w14:textId="77777777" w:rsidR="00183434" w:rsidRPr="00183434" w:rsidRDefault="00183434" w:rsidP="00183434">
      <w:pPr>
        <w:numPr>
          <w:ilvl w:val="0"/>
          <w:numId w:val="43"/>
        </w:numPr>
        <w:jc w:val="both"/>
        <w:rPr>
          <w:rFonts w:cs="Arial"/>
          <w:color w:val="000000" w:themeColor="text1"/>
          <w:sz w:val="23"/>
          <w:szCs w:val="23"/>
        </w:rPr>
      </w:pPr>
      <w:r w:rsidRPr="00183434">
        <w:rPr>
          <w:rFonts w:cs="Arial"/>
          <w:color w:val="000000" w:themeColor="text1"/>
          <w:sz w:val="23"/>
          <w:szCs w:val="23"/>
        </w:rPr>
        <w:t>Building a more resilient council now and in the future</w:t>
      </w:r>
    </w:p>
    <w:p w14:paraId="55FAA1BA" w14:textId="77777777" w:rsidR="00183434" w:rsidRPr="00183434" w:rsidRDefault="00183434" w:rsidP="00183434">
      <w:pPr>
        <w:jc w:val="both"/>
        <w:rPr>
          <w:rFonts w:cs="Arial"/>
          <w:color w:val="45B0E1" w:themeColor="accent1" w:themeTint="99"/>
          <w:sz w:val="23"/>
          <w:szCs w:val="23"/>
          <w:highlight w:val="cyan"/>
        </w:rPr>
      </w:pPr>
    </w:p>
    <w:p w14:paraId="0B1B3DAE"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Progress against the Plan is monitored through a supporting delivery plan and a suite of performance measures. In recognition of the timetable for Local Government Reorganisation and the extension of the Council Plan period, Cabinet approved a two-year Delivery Plan for 2026 to 2028 in March 2026. The Delivery Plan sets out 35 key activities to be delivered over the two-year period and is supported by 40 key performance indicators used to monitor progress and performance against the Council’s priorities.</w:t>
      </w:r>
    </w:p>
    <w:p w14:paraId="2F19FF46" w14:textId="77777777" w:rsidR="00183434" w:rsidRPr="00183434" w:rsidRDefault="00183434" w:rsidP="00183434">
      <w:pPr>
        <w:jc w:val="both"/>
        <w:rPr>
          <w:rFonts w:cs="Arial"/>
          <w:color w:val="45B0E1" w:themeColor="accent1" w:themeTint="99"/>
          <w:sz w:val="23"/>
          <w:szCs w:val="23"/>
        </w:rPr>
      </w:pPr>
    </w:p>
    <w:p w14:paraId="1362E9B6"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The Council’s performance management framework includes quarterly challenge sessions involving the Corporate Leadership Team and relevant portfolio holder – rising to monthly challenge sessions if performance management issues are identified. The Council’s performance is also scrutinised on a half yearly basis by the Scrutiny Select Committee – Resilient Council and Cabinet. Our performance management framework aims to: </w:t>
      </w:r>
    </w:p>
    <w:p w14:paraId="54ACB751" w14:textId="77777777" w:rsidR="00183434" w:rsidRPr="00183434" w:rsidRDefault="00183434" w:rsidP="00183434">
      <w:pPr>
        <w:jc w:val="both"/>
        <w:rPr>
          <w:rFonts w:cs="Arial"/>
          <w:sz w:val="23"/>
          <w:szCs w:val="23"/>
        </w:rPr>
      </w:pPr>
    </w:p>
    <w:p w14:paraId="01019438" w14:textId="77777777" w:rsidR="00183434" w:rsidRPr="00183434" w:rsidRDefault="00183434" w:rsidP="00183434">
      <w:pPr>
        <w:numPr>
          <w:ilvl w:val="0"/>
          <w:numId w:val="42"/>
        </w:numPr>
        <w:jc w:val="both"/>
        <w:rPr>
          <w:rFonts w:cs="Arial"/>
          <w:sz w:val="23"/>
          <w:szCs w:val="23"/>
        </w:rPr>
      </w:pPr>
      <w:r w:rsidRPr="00183434">
        <w:rPr>
          <w:rFonts w:cs="Arial"/>
          <w:sz w:val="23"/>
          <w:szCs w:val="23"/>
        </w:rPr>
        <w:t>Improve services to and outcomes for our communities.</w:t>
      </w:r>
    </w:p>
    <w:p w14:paraId="349FCA23" w14:textId="77777777" w:rsidR="00183434" w:rsidRPr="00183434" w:rsidRDefault="00183434" w:rsidP="00183434">
      <w:pPr>
        <w:numPr>
          <w:ilvl w:val="0"/>
          <w:numId w:val="42"/>
        </w:numPr>
        <w:jc w:val="both"/>
        <w:rPr>
          <w:rFonts w:cs="Arial"/>
          <w:sz w:val="23"/>
          <w:szCs w:val="23"/>
        </w:rPr>
      </w:pPr>
      <w:r w:rsidRPr="00183434">
        <w:rPr>
          <w:rFonts w:cs="Arial"/>
          <w:sz w:val="23"/>
          <w:szCs w:val="23"/>
        </w:rPr>
        <w:t>Identify and rectify poor performance at an early stage.</w:t>
      </w:r>
    </w:p>
    <w:p w14:paraId="711A777B" w14:textId="77777777" w:rsidR="00183434" w:rsidRPr="00183434" w:rsidRDefault="00183434" w:rsidP="00183434">
      <w:pPr>
        <w:numPr>
          <w:ilvl w:val="0"/>
          <w:numId w:val="42"/>
        </w:numPr>
        <w:jc w:val="both"/>
        <w:rPr>
          <w:rFonts w:cs="Arial"/>
          <w:sz w:val="23"/>
          <w:szCs w:val="23"/>
        </w:rPr>
      </w:pPr>
      <w:r w:rsidRPr="00183434">
        <w:rPr>
          <w:rFonts w:cs="Arial"/>
          <w:sz w:val="23"/>
          <w:szCs w:val="23"/>
        </w:rPr>
        <w:t>Ensure the right information reaches the right people at the right time so that effective decisions are made, and action taken.</w:t>
      </w:r>
    </w:p>
    <w:p w14:paraId="1F669C10" w14:textId="77777777" w:rsidR="00183434" w:rsidRPr="00183434" w:rsidRDefault="00183434" w:rsidP="00183434">
      <w:pPr>
        <w:numPr>
          <w:ilvl w:val="0"/>
          <w:numId w:val="42"/>
        </w:numPr>
        <w:jc w:val="both"/>
        <w:rPr>
          <w:rFonts w:cs="Arial"/>
          <w:sz w:val="23"/>
          <w:szCs w:val="23"/>
        </w:rPr>
      </w:pPr>
      <w:r w:rsidRPr="00183434">
        <w:rPr>
          <w:rFonts w:cs="Arial"/>
          <w:sz w:val="23"/>
          <w:szCs w:val="23"/>
        </w:rPr>
        <w:t>Enable evaluation, review and learning to help improve future performance.</w:t>
      </w:r>
    </w:p>
    <w:p w14:paraId="3E7DE31C" w14:textId="77777777" w:rsidR="00183434" w:rsidRPr="00183434" w:rsidRDefault="00183434" w:rsidP="00183434">
      <w:pPr>
        <w:numPr>
          <w:ilvl w:val="0"/>
          <w:numId w:val="42"/>
        </w:numPr>
        <w:jc w:val="both"/>
        <w:rPr>
          <w:rFonts w:cs="Arial"/>
          <w:sz w:val="23"/>
          <w:szCs w:val="23"/>
        </w:rPr>
      </w:pPr>
      <w:r w:rsidRPr="00183434">
        <w:rPr>
          <w:rFonts w:cs="Arial"/>
          <w:sz w:val="23"/>
          <w:szCs w:val="23"/>
        </w:rPr>
        <w:t>Ensure everyone is clear about their individual roles and accountable for playing their part in delivering the Council’s vision and priorities, and the Council Plan 2023 to 2028</w:t>
      </w:r>
    </w:p>
    <w:p w14:paraId="7E7E8614" w14:textId="77777777" w:rsidR="00183434" w:rsidRPr="00183434" w:rsidRDefault="00183434" w:rsidP="00183434">
      <w:pPr>
        <w:numPr>
          <w:ilvl w:val="0"/>
          <w:numId w:val="42"/>
        </w:numPr>
        <w:jc w:val="both"/>
        <w:rPr>
          <w:rFonts w:cs="Arial"/>
          <w:sz w:val="23"/>
          <w:szCs w:val="23"/>
        </w:rPr>
      </w:pPr>
      <w:r w:rsidRPr="00183434">
        <w:rPr>
          <w:rFonts w:cs="Arial"/>
          <w:sz w:val="23"/>
          <w:szCs w:val="23"/>
        </w:rPr>
        <w:t>Demonstrate success and value for money.</w:t>
      </w:r>
    </w:p>
    <w:p w14:paraId="56EAB675" w14:textId="77777777" w:rsidR="00183434" w:rsidRPr="00183434" w:rsidRDefault="00183434" w:rsidP="00183434">
      <w:pPr>
        <w:numPr>
          <w:ilvl w:val="0"/>
          <w:numId w:val="42"/>
        </w:numPr>
        <w:jc w:val="both"/>
        <w:rPr>
          <w:rFonts w:cs="Arial"/>
          <w:sz w:val="23"/>
          <w:szCs w:val="23"/>
        </w:rPr>
      </w:pPr>
      <w:r w:rsidRPr="00183434">
        <w:rPr>
          <w:rFonts w:cs="Arial"/>
          <w:sz w:val="23"/>
          <w:szCs w:val="23"/>
        </w:rPr>
        <w:t>Motivate and engage employees to prioritise service performance whilst recognising the need to allocate diminishing resources effectively.</w:t>
      </w:r>
    </w:p>
    <w:p w14:paraId="056696D3" w14:textId="77777777" w:rsidR="00183434" w:rsidRPr="00183434" w:rsidRDefault="00183434" w:rsidP="00183434">
      <w:pPr>
        <w:jc w:val="both"/>
        <w:rPr>
          <w:rFonts w:cs="Arial"/>
          <w:color w:val="45B0E1" w:themeColor="accent1" w:themeTint="99"/>
          <w:sz w:val="23"/>
          <w:szCs w:val="23"/>
        </w:rPr>
      </w:pPr>
    </w:p>
    <w:p w14:paraId="4BB4DAD8" w14:textId="77777777" w:rsidR="00183434" w:rsidRPr="00183434" w:rsidRDefault="00183434" w:rsidP="00183434">
      <w:pPr>
        <w:jc w:val="both"/>
        <w:rPr>
          <w:rFonts w:cs="Arial"/>
          <w:b/>
          <w:bCs/>
          <w:sz w:val="23"/>
          <w:szCs w:val="23"/>
        </w:rPr>
      </w:pPr>
      <w:r w:rsidRPr="00183434">
        <w:rPr>
          <w:rFonts w:cs="Arial"/>
          <w:b/>
          <w:bCs/>
          <w:sz w:val="23"/>
          <w:szCs w:val="23"/>
        </w:rPr>
        <w:t>Productivity Plan</w:t>
      </w:r>
    </w:p>
    <w:p w14:paraId="743C612A" w14:textId="77777777" w:rsidR="00183434" w:rsidRPr="00183434" w:rsidRDefault="00183434" w:rsidP="00183434">
      <w:pPr>
        <w:jc w:val="both"/>
        <w:rPr>
          <w:rFonts w:cs="Arial"/>
          <w:b/>
          <w:bCs/>
          <w:sz w:val="23"/>
          <w:szCs w:val="23"/>
        </w:rPr>
      </w:pPr>
    </w:p>
    <w:p w14:paraId="4B687A26" w14:textId="77777777" w:rsidR="00183434" w:rsidRPr="00183434" w:rsidRDefault="00183434" w:rsidP="00183434">
      <w:pPr>
        <w:jc w:val="both"/>
        <w:rPr>
          <w:rFonts w:cs="Arial"/>
          <w:sz w:val="23"/>
          <w:szCs w:val="23"/>
          <w:highlight w:val="cyan"/>
        </w:rPr>
      </w:pPr>
      <w:r w:rsidRPr="00183434">
        <w:rPr>
          <w:rFonts w:cs="Arial"/>
          <w:sz w:val="23"/>
          <w:szCs w:val="23"/>
        </w:rPr>
        <w:t xml:space="preserve">In February 2024, the Local Government Finance Settlement statement for 2024/25 referred to a new requirement for local authorities to develop and publish productivity plans. On 16 April 2024, the Minister for Local Government at the Department for Levelling Up, Housing and Communities wrote to local authority Chief Executives to give further details on the new productivity plan requirement. </w:t>
      </w:r>
    </w:p>
    <w:p w14:paraId="0222E13F" w14:textId="77777777" w:rsidR="00183434" w:rsidRPr="00183434" w:rsidRDefault="00183434" w:rsidP="00183434">
      <w:pPr>
        <w:jc w:val="both"/>
        <w:rPr>
          <w:rFonts w:cs="Arial"/>
          <w:sz w:val="23"/>
          <w:szCs w:val="23"/>
          <w:highlight w:val="cyan"/>
        </w:rPr>
      </w:pPr>
    </w:p>
    <w:p w14:paraId="0F27CE69" w14:textId="77777777" w:rsidR="00183434" w:rsidRPr="00183434" w:rsidRDefault="00183434" w:rsidP="00183434">
      <w:pPr>
        <w:jc w:val="both"/>
        <w:rPr>
          <w:rFonts w:cs="Arial"/>
          <w:sz w:val="23"/>
          <w:szCs w:val="23"/>
        </w:rPr>
      </w:pPr>
      <w:r w:rsidRPr="00183434">
        <w:rPr>
          <w:rFonts w:cs="Arial"/>
          <w:sz w:val="23"/>
          <w:szCs w:val="23"/>
        </w:rPr>
        <w:t xml:space="preserve">The letter confirmed that the following themes should be considered the development of the plan: </w:t>
      </w:r>
    </w:p>
    <w:p w14:paraId="05263F2F" w14:textId="77777777" w:rsidR="00183434" w:rsidRPr="00183434" w:rsidRDefault="00183434" w:rsidP="00183434">
      <w:pPr>
        <w:numPr>
          <w:ilvl w:val="0"/>
          <w:numId w:val="44"/>
        </w:numPr>
        <w:jc w:val="both"/>
        <w:rPr>
          <w:rFonts w:cs="Arial"/>
          <w:sz w:val="23"/>
          <w:szCs w:val="23"/>
        </w:rPr>
      </w:pPr>
      <w:r w:rsidRPr="00183434">
        <w:rPr>
          <w:rFonts w:cs="Arial"/>
          <w:b/>
          <w:bCs/>
          <w:sz w:val="23"/>
          <w:szCs w:val="23"/>
        </w:rPr>
        <w:t>Theme 1</w:t>
      </w:r>
      <w:r w:rsidRPr="00183434">
        <w:rPr>
          <w:rFonts w:cs="Arial"/>
          <w:sz w:val="23"/>
          <w:szCs w:val="23"/>
        </w:rPr>
        <w:t xml:space="preserve"> - How you have transformed the way you design and deliver services to make better use of resources. </w:t>
      </w:r>
    </w:p>
    <w:p w14:paraId="2752988F" w14:textId="77777777" w:rsidR="00183434" w:rsidRPr="00183434" w:rsidRDefault="00183434" w:rsidP="00183434">
      <w:pPr>
        <w:numPr>
          <w:ilvl w:val="0"/>
          <w:numId w:val="44"/>
        </w:numPr>
        <w:jc w:val="both"/>
        <w:rPr>
          <w:rFonts w:cs="Arial"/>
          <w:sz w:val="23"/>
          <w:szCs w:val="23"/>
        </w:rPr>
      </w:pPr>
      <w:r w:rsidRPr="00183434">
        <w:rPr>
          <w:rFonts w:cs="Arial"/>
          <w:b/>
          <w:bCs/>
          <w:sz w:val="23"/>
          <w:szCs w:val="23"/>
        </w:rPr>
        <w:t>Theme 2</w:t>
      </w:r>
      <w:r w:rsidRPr="00183434">
        <w:rPr>
          <w:rFonts w:cs="Arial"/>
          <w:sz w:val="23"/>
          <w:szCs w:val="23"/>
        </w:rPr>
        <w:t xml:space="preserve"> - How you plan to take advantage of technology and make better use of data to improve decision making, service design and use of resources. </w:t>
      </w:r>
    </w:p>
    <w:p w14:paraId="26B37F6A" w14:textId="77777777" w:rsidR="00183434" w:rsidRPr="00183434" w:rsidRDefault="00183434" w:rsidP="00183434">
      <w:pPr>
        <w:numPr>
          <w:ilvl w:val="0"/>
          <w:numId w:val="44"/>
        </w:numPr>
        <w:jc w:val="both"/>
        <w:rPr>
          <w:rFonts w:cs="Arial"/>
          <w:sz w:val="23"/>
          <w:szCs w:val="23"/>
        </w:rPr>
      </w:pPr>
      <w:r w:rsidRPr="00183434">
        <w:rPr>
          <w:rFonts w:cs="Arial"/>
          <w:b/>
          <w:bCs/>
          <w:sz w:val="23"/>
          <w:szCs w:val="23"/>
        </w:rPr>
        <w:t>Theme 3</w:t>
      </w:r>
      <w:r w:rsidRPr="00183434">
        <w:rPr>
          <w:rFonts w:cs="Arial"/>
          <w:sz w:val="23"/>
          <w:szCs w:val="23"/>
        </w:rPr>
        <w:t xml:space="preserve"> - Your plans to reduce wasteful spend within your organisation and systems.</w:t>
      </w:r>
    </w:p>
    <w:p w14:paraId="4F2BDAB3" w14:textId="77777777" w:rsidR="00183434" w:rsidRPr="00183434" w:rsidRDefault="00183434" w:rsidP="00183434">
      <w:pPr>
        <w:numPr>
          <w:ilvl w:val="0"/>
          <w:numId w:val="44"/>
        </w:numPr>
        <w:jc w:val="both"/>
        <w:rPr>
          <w:rFonts w:cs="Arial"/>
          <w:sz w:val="23"/>
          <w:szCs w:val="23"/>
        </w:rPr>
      </w:pPr>
      <w:r w:rsidRPr="00183434">
        <w:rPr>
          <w:rFonts w:cs="Arial"/>
          <w:b/>
          <w:bCs/>
          <w:sz w:val="23"/>
          <w:szCs w:val="23"/>
        </w:rPr>
        <w:t>Theme 4</w:t>
      </w:r>
      <w:r w:rsidRPr="00183434">
        <w:rPr>
          <w:rFonts w:cs="Arial"/>
          <w:sz w:val="23"/>
          <w:szCs w:val="23"/>
        </w:rPr>
        <w:t xml:space="preserve"> - The barriers preventing progress that the Government can help reduce or remove.</w:t>
      </w:r>
    </w:p>
    <w:p w14:paraId="6071F305" w14:textId="77777777" w:rsidR="00183434" w:rsidRPr="00183434" w:rsidRDefault="00183434" w:rsidP="00183434">
      <w:pPr>
        <w:ind w:left="720"/>
        <w:jc w:val="both"/>
        <w:rPr>
          <w:rFonts w:cs="Arial"/>
          <w:sz w:val="23"/>
          <w:szCs w:val="23"/>
        </w:rPr>
      </w:pPr>
    </w:p>
    <w:p w14:paraId="0E84F989" w14:textId="77777777" w:rsidR="00183434" w:rsidRPr="00183434" w:rsidRDefault="00183434" w:rsidP="00183434">
      <w:pPr>
        <w:jc w:val="both"/>
        <w:rPr>
          <w:rFonts w:cs="Arial"/>
          <w:sz w:val="23"/>
          <w:szCs w:val="23"/>
        </w:rPr>
      </w:pPr>
      <w:r w:rsidRPr="00183434">
        <w:rPr>
          <w:rFonts w:cs="Arial"/>
          <w:sz w:val="23"/>
          <w:szCs w:val="23"/>
        </w:rPr>
        <w:t xml:space="preserve">Each theme also included a list of non-prescriptive questions to help local authorities to develop their plans. The Chesterfield Borough Council Productivity Plan follows the themes through and has used the questions supplied to inform our plan. </w:t>
      </w:r>
    </w:p>
    <w:p w14:paraId="1E65B3C5" w14:textId="77777777" w:rsidR="00183434" w:rsidRPr="00183434" w:rsidRDefault="00183434" w:rsidP="00183434">
      <w:pPr>
        <w:jc w:val="both"/>
        <w:rPr>
          <w:rFonts w:cs="Arial"/>
          <w:sz w:val="23"/>
          <w:szCs w:val="23"/>
        </w:rPr>
      </w:pPr>
    </w:p>
    <w:p w14:paraId="3EAE4C7B" w14:textId="77777777" w:rsidR="00183434" w:rsidRPr="00183434" w:rsidRDefault="00183434" w:rsidP="00183434">
      <w:pPr>
        <w:jc w:val="both"/>
        <w:rPr>
          <w:rFonts w:cs="Arial"/>
          <w:sz w:val="23"/>
          <w:szCs w:val="23"/>
        </w:rPr>
      </w:pPr>
      <w:r w:rsidRPr="00183434">
        <w:rPr>
          <w:rFonts w:cs="Arial"/>
          <w:sz w:val="23"/>
          <w:szCs w:val="23"/>
        </w:rPr>
        <w:lastRenderedPageBreak/>
        <w:t xml:space="preserve">Chesterfield Borough Council’s Productivity Plan for 2024/25 was approved by Full Council on 17 July 2024 and then published on our website and submitted to Government. The Chesterfield Borough Council productivity plan is available </w:t>
      </w:r>
      <w:hyperlink r:id="rId15" w:history="1">
        <w:r w:rsidRPr="00183434">
          <w:rPr>
            <w:rStyle w:val="Hyperlink"/>
            <w:rFonts w:cs="Arial"/>
            <w:color w:val="auto"/>
            <w:sz w:val="23"/>
            <w:szCs w:val="23"/>
          </w:rPr>
          <w:t>here.</w:t>
        </w:r>
      </w:hyperlink>
      <w:r w:rsidRPr="00183434">
        <w:rPr>
          <w:rFonts w:cs="Arial"/>
          <w:sz w:val="23"/>
          <w:szCs w:val="23"/>
        </w:rPr>
        <w:t xml:space="preserve"> </w:t>
      </w:r>
    </w:p>
    <w:p w14:paraId="3FB8E233" w14:textId="77777777" w:rsidR="00183434" w:rsidRPr="00183434" w:rsidRDefault="00183434" w:rsidP="00183434">
      <w:pPr>
        <w:jc w:val="both"/>
        <w:rPr>
          <w:rFonts w:cs="Arial"/>
          <w:sz w:val="23"/>
          <w:szCs w:val="23"/>
          <w:highlight w:val="cyan"/>
        </w:rPr>
      </w:pPr>
    </w:p>
    <w:p w14:paraId="32CA9E5D" w14:textId="77777777" w:rsidR="00183434" w:rsidRPr="00183434" w:rsidRDefault="00183434" w:rsidP="00183434">
      <w:pPr>
        <w:jc w:val="both"/>
        <w:rPr>
          <w:rFonts w:cs="Arial"/>
          <w:b/>
          <w:bCs/>
          <w:color w:val="000000" w:themeColor="text1"/>
          <w:sz w:val="23"/>
          <w:szCs w:val="23"/>
        </w:rPr>
      </w:pPr>
      <w:r w:rsidRPr="00183434">
        <w:rPr>
          <w:rFonts w:cs="Arial"/>
          <w:b/>
          <w:bCs/>
          <w:color w:val="000000" w:themeColor="text1"/>
          <w:sz w:val="23"/>
          <w:szCs w:val="23"/>
        </w:rPr>
        <w:t>Sector Led Improvement</w:t>
      </w:r>
    </w:p>
    <w:p w14:paraId="222A157A" w14:textId="77777777" w:rsidR="00183434" w:rsidRPr="00183434" w:rsidRDefault="00183434" w:rsidP="00183434">
      <w:pPr>
        <w:jc w:val="both"/>
        <w:rPr>
          <w:rFonts w:cs="Arial"/>
          <w:b/>
          <w:bCs/>
          <w:color w:val="000000" w:themeColor="text1"/>
          <w:sz w:val="23"/>
          <w:szCs w:val="23"/>
          <w:highlight w:val="cyan"/>
        </w:rPr>
      </w:pPr>
    </w:p>
    <w:p w14:paraId="4386ABEF"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The Council employs a range of improvement tools to ensure our services offer value for money and we can evidence productivity. We actively engage with the Local Government Association sector led improvement offer including exposing our own organisation to regular peer challenges and encouraging our elected members and officers to act as peers when other councils are exposed to the offer. LG inform, APSE and </w:t>
      </w:r>
      <w:proofErr w:type="spellStart"/>
      <w:r w:rsidRPr="00183434">
        <w:rPr>
          <w:rFonts w:cs="Arial"/>
          <w:color w:val="000000" w:themeColor="text1"/>
          <w:sz w:val="23"/>
          <w:szCs w:val="23"/>
        </w:rPr>
        <w:t>Housemark</w:t>
      </w:r>
      <w:proofErr w:type="spellEnd"/>
      <w:r w:rsidRPr="00183434">
        <w:rPr>
          <w:rFonts w:cs="Arial"/>
          <w:color w:val="000000" w:themeColor="text1"/>
          <w:sz w:val="23"/>
          <w:szCs w:val="23"/>
        </w:rPr>
        <w:t xml:space="preserve"> are also used for benchmarking the council’s services to check and challenge performance and to learn from high performing authorities.</w:t>
      </w:r>
    </w:p>
    <w:p w14:paraId="207EB5A9" w14:textId="77777777" w:rsidR="00183434" w:rsidRPr="00183434" w:rsidRDefault="00183434" w:rsidP="00183434">
      <w:pPr>
        <w:jc w:val="both"/>
        <w:rPr>
          <w:rFonts w:cs="Arial"/>
          <w:color w:val="000000" w:themeColor="text1"/>
          <w:sz w:val="23"/>
          <w:szCs w:val="23"/>
        </w:rPr>
      </w:pPr>
    </w:p>
    <w:p w14:paraId="380BD2F6" w14:textId="77777777" w:rsidR="00183434" w:rsidRPr="00183434" w:rsidRDefault="00183434" w:rsidP="00183434">
      <w:pPr>
        <w:jc w:val="both"/>
        <w:rPr>
          <w:rFonts w:cs="Arial"/>
          <w:color w:val="000000" w:themeColor="text1"/>
          <w:sz w:val="23"/>
          <w:szCs w:val="23"/>
        </w:rPr>
      </w:pPr>
      <w:proofErr w:type="gramStart"/>
      <w:r w:rsidRPr="00183434">
        <w:rPr>
          <w:rFonts w:cs="Arial"/>
          <w:color w:val="000000" w:themeColor="text1"/>
          <w:sz w:val="23"/>
          <w:szCs w:val="23"/>
        </w:rPr>
        <w:t>A number of</w:t>
      </w:r>
      <w:proofErr w:type="gramEnd"/>
      <w:r w:rsidRPr="00183434">
        <w:rPr>
          <w:rFonts w:cs="Arial"/>
          <w:color w:val="000000" w:themeColor="text1"/>
          <w:sz w:val="23"/>
          <w:szCs w:val="23"/>
        </w:rPr>
        <w:t xml:space="preserve"> our officers and councillors are Local Government Association trained peers that assist authorities across the country with their peer challenge activity. Chesterfield Borough Council’s last Peer Challenge took place in 2021. </w:t>
      </w:r>
    </w:p>
    <w:p w14:paraId="38A8F48B" w14:textId="77777777" w:rsidR="00183434" w:rsidRPr="00183434" w:rsidRDefault="00183434" w:rsidP="00183434">
      <w:pPr>
        <w:jc w:val="both"/>
        <w:rPr>
          <w:rFonts w:cs="Arial"/>
          <w:b/>
          <w:bCs/>
          <w:color w:val="45B0E1" w:themeColor="accent1" w:themeTint="99"/>
          <w:sz w:val="23"/>
          <w:szCs w:val="23"/>
          <w:highlight w:val="cyan"/>
        </w:rPr>
      </w:pPr>
    </w:p>
    <w:p w14:paraId="44BA55C8" w14:textId="77777777" w:rsidR="00183434" w:rsidRPr="00183434" w:rsidRDefault="00183434" w:rsidP="00183434">
      <w:pPr>
        <w:jc w:val="both"/>
        <w:rPr>
          <w:rFonts w:cs="Arial"/>
          <w:b/>
          <w:bCs/>
          <w:color w:val="000000" w:themeColor="text1"/>
          <w:sz w:val="23"/>
          <w:szCs w:val="23"/>
        </w:rPr>
      </w:pPr>
      <w:r w:rsidRPr="00183434">
        <w:rPr>
          <w:rFonts w:cs="Arial"/>
          <w:b/>
          <w:bCs/>
          <w:color w:val="000000" w:themeColor="text1"/>
          <w:sz w:val="23"/>
          <w:szCs w:val="23"/>
        </w:rPr>
        <w:t xml:space="preserve">Local Government Reorganisation </w:t>
      </w:r>
    </w:p>
    <w:p w14:paraId="3B79B8F7" w14:textId="77777777" w:rsidR="00183434" w:rsidRPr="00183434" w:rsidRDefault="00183434" w:rsidP="00183434">
      <w:pPr>
        <w:jc w:val="both"/>
        <w:rPr>
          <w:rFonts w:cs="Arial"/>
          <w:color w:val="45B0E1" w:themeColor="accent1" w:themeTint="99"/>
          <w:sz w:val="23"/>
          <w:szCs w:val="23"/>
        </w:rPr>
      </w:pPr>
    </w:p>
    <w:p w14:paraId="47B9B75E"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In December 2024, the Government published its Devolution White Paper which described a national programme of devolution and reform to local government. This included a clear expectation that the ‘two-tier system’ of local government must be replaced. </w:t>
      </w:r>
    </w:p>
    <w:p w14:paraId="3ABC709C" w14:textId="77777777" w:rsidR="00183434" w:rsidRPr="00183434" w:rsidRDefault="00183434" w:rsidP="00183434">
      <w:pPr>
        <w:jc w:val="both"/>
        <w:rPr>
          <w:rFonts w:cs="Arial"/>
          <w:color w:val="45B0E1" w:themeColor="accent1" w:themeTint="99"/>
          <w:sz w:val="23"/>
          <w:szCs w:val="23"/>
        </w:rPr>
      </w:pPr>
    </w:p>
    <w:p w14:paraId="6A38D3E1"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In February 2025, council leaders across Derbyshire and Derby received a formal invitation from the Minister of State for Local Government and English Devolution to develop proposals for local government reorganisation. Interim proposals were submitted to Government in March 2025. </w:t>
      </w:r>
    </w:p>
    <w:p w14:paraId="21255C52" w14:textId="77777777" w:rsidR="00183434" w:rsidRPr="00183434" w:rsidRDefault="00183434" w:rsidP="00183434">
      <w:pPr>
        <w:jc w:val="both"/>
        <w:rPr>
          <w:rFonts w:cs="Arial"/>
          <w:color w:val="000000" w:themeColor="text1"/>
          <w:sz w:val="23"/>
          <w:szCs w:val="23"/>
        </w:rPr>
      </w:pPr>
    </w:p>
    <w:p w14:paraId="315379C0"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In February 2025, Council Leaders in Derbyshire and Derby received a letter from the Minister of State for Housing, Communities and Local Government formally inviting Leaders to work with other Council Leaders in the area to develop a proposal for local government reorganisation. The letter included a deadline of Friday 21 March for initial proposals to be submitted and a final submission by Friday 28 November.</w:t>
      </w:r>
    </w:p>
    <w:p w14:paraId="6A728AEC" w14:textId="77777777" w:rsidR="00183434" w:rsidRPr="00183434" w:rsidRDefault="00183434" w:rsidP="00183434">
      <w:pPr>
        <w:jc w:val="both"/>
        <w:rPr>
          <w:rFonts w:cs="Arial"/>
          <w:color w:val="000000" w:themeColor="text1"/>
          <w:sz w:val="23"/>
          <w:szCs w:val="23"/>
        </w:rPr>
      </w:pPr>
    </w:p>
    <w:p w14:paraId="47486736"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During 2025, councils across Derbyshire undertook further analysis, engagement, and option development. Full proposals for local government reorganisation were submitted to Government by the required deadline of 28 November 2025.</w:t>
      </w:r>
    </w:p>
    <w:p w14:paraId="3FAC568A" w14:textId="77777777" w:rsidR="00183434" w:rsidRPr="00183434" w:rsidRDefault="00183434" w:rsidP="00183434">
      <w:pPr>
        <w:jc w:val="both"/>
        <w:rPr>
          <w:rFonts w:cs="Arial"/>
          <w:color w:val="45B0E1" w:themeColor="accent1" w:themeTint="99"/>
          <w:sz w:val="23"/>
          <w:szCs w:val="23"/>
        </w:rPr>
      </w:pPr>
    </w:p>
    <w:p w14:paraId="5180B064"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The Government launched a statutory consultation on the proposals in February 2026, which closed in March 2026. At the date of approval of these financial statements, the Government consultation has concluded and a final decision from the Secretary of State is awaited.</w:t>
      </w:r>
    </w:p>
    <w:p w14:paraId="50FBD860" w14:textId="77777777" w:rsidR="00183434" w:rsidRPr="00183434" w:rsidRDefault="00183434" w:rsidP="00183434">
      <w:pPr>
        <w:jc w:val="both"/>
        <w:rPr>
          <w:rFonts w:cs="Arial"/>
          <w:color w:val="45B0E1" w:themeColor="accent1" w:themeTint="99"/>
          <w:sz w:val="23"/>
          <w:szCs w:val="23"/>
        </w:rPr>
      </w:pPr>
    </w:p>
    <w:p w14:paraId="68A8B1DD" w14:textId="77777777" w:rsidR="00183434" w:rsidRPr="00183434" w:rsidRDefault="00183434" w:rsidP="00183434">
      <w:pPr>
        <w:jc w:val="both"/>
        <w:rPr>
          <w:rFonts w:cs="Arial"/>
          <w:b/>
          <w:bCs/>
          <w:sz w:val="23"/>
          <w:szCs w:val="23"/>
        </w:rPr>
      </w:pPr>
      <w:r w:rsidRPr="00183434">
        <w:rPr>
          <w:rFonts w:cs="Arial"/>
          <w:b/>
          <w:bCs/>
          <w:sz w:val="23"/>
          <w:szCs w:val="23"/>
        </w:rPr>
        <w:t>Local Government Funding Reforms</w:t>
      </w:r>
    </w:p>
    <w:p w14:paraId="2ABC6711" w14:textId="77777777" w:rsidR="00183434" w:rsidRPr="00183434" w:rsidRDefault="00183434" w:rsidP="00183434">
      <w:pPr>
        <w:jc w:val="both"/>
        <w:rPr>
          <w:rFonts w:cs="Arial"/>
          <w:sz w:val="23"/>
          <w:szCs w:val="23"/>
        </w:rPr>
      </w:pPr>
    </w:p>
    <w:p w14:paraId="18CAD3B7" w14:textId="77777777" w:rsidR="00183434" w:rsidRPr="00183434" w:rsidRDefault="00183434" w:rsidP="00183434">
      <w:pPr>
        <w:jc w:val="both"/>
        <w:rPr>
          <w:rFonts w:cs="Arial"/>
          <w:sz w:val="23"/>
          <w:szCs w:val="23"/>
        </w:rPr>
      </w:pPr>
      <w:r w:rsidRPr="00183434">
        <w:rPr>
          <w:rFonts w:cs="Arial"/>
          <w:sz w:val="23"/>
          <w:szCs w:val="23"/>
        </w:rPr>
        <w:t xml:space="preserve">2025/26 was the last year of the long-established financial settlement system before the implementation of Fair Funding Review 2.0 reforms as part of a multi-year settlement introduced from 2026/27. These reforms will include substantial revision to the Settlement Funding Assessment, a reset of the Business Rates Retention System and a discontinuation of the New Homes Bonus grant. </w:t>
      </w:r>
    </w:p>
    <w:p w14:paraId="3828D378" w14:textId="77777777" w:rsidR="00183434" w:rsidRPr="00183434" w:rsidRDefault="00183434" w:rsidP="00183434">
      <w:pPr>
        <w:jc w:val="both"/>
        <w:rPr>
          <w:rFonts w:cs="Arial"/>
          <w:b/>
          <w:bCs/>
          <w:sz w:val="23"/>
          <w:szCs w:val="23"/>
        </w:rPr>
      </w:pPr>
    </w:p>
    <w:p w14:paraId="11458115" w14:textId="77777777" w:rsidR="00183434" w:rsidRPr="00183434" w:rsidRDefault="00183434" w:rsidP="00183434">
      <w:pPr>
        <w:jc w:val="both"/>
        <w:rPr>
          <w:rFonts w:cs="Arial"/>
          <w:b/>
          <w:bCs/>
          <w:sz w:val="23"/>
          <w:szCs w:val="23"/>
          <w:highlight w:val="cyan"/>
        </w:rPr>
      </w:pPr>
    </w:p>
    <w:p w14:paraId="2D317D68" w14:textId="77777777" w:rsidR="00183434" w:rsidRDefault="00183434">
      <w:pPr>
        <w:rPr>
          <w:rFonts w:cs="Arial"/>
          <w:b/>
          <w:sz w:val="23"/>
          <w:szCs w:val="23"/>
          <w:u w:val="single"/>
        </w:rPr>
      </w:pPr>
      <w:r>
        <w:rPr>
          <w:rFonts w:cs="Arial"/>
          <w:b/>
          <w:sz w:val="23"/>
          <w:szCs w:val="23"/>
          <w:u w:val="single"/>
        </w:rPr>
        <w:br w:type="page"/>
      </w:r>
    </w:p>
    <w:p w14:paraId="3275B7FB" w14:textId="763D6AA7" w:rsidR="00183434" w:rsidRPr="00183434" w:rsidRDefault="00183434" w:rsidP="00183434">
      <w:pPr>
        <w:jc w:val="both"/>
        <w:rPr>
          <w:rFonts w:cs="Arial"/>
          <w:b/>
          <w:sz w:val="23"/>
          <w:szCs w:val="23"/>
          <w:u w:val="single"/>
        </w:rPr>
      </w:pPr>
      <w:r w:rsidRPr="00183434">
        <w:rPr>
          <w:rFonts w:cs="Arial"/>
          <w:b/>
          <w:sz w:val="23"/>
          <w:szCs w:val="23"/>
          <w:u w:val="single"/>
        </w:rPr>
        <w:lastRenderedPageBreak/>
        <w:t>FINANCIAL PERFORMANCE 2025/26</w:t>
      </w:r>
    </w:p>
    <w:p w14:paraId="691FD83F" w14:textId="77777777" w:rsidR="00183434" w:rsidRPr="00183434" w:rsidRDefault="00183434" w:rsidP="00183434">
      <w:pPr>
        <w:jc w:val="both"/>
        <w:rPr>
          <w:rFonts w:cs="Arial"/>
          <w:b/>
          <w:sz w:val="23"/>
          <w:szCs w:val="23"/>
          <w:u w:val="single"/>
        </w:rPr>
      </w:pPr>
    </w:p>
    <w:p w14:paraId="05B7CE58" w14:textId="77777777" w:rsidR="00183434" w:rsidRPr="00183434" w:rsidRDefault="00183434" w:rsidP="00183434">
      <w:pPr>
        <w:jc w:val="both"/>
        <w:rPr>
          <w:rFonts w:cs="Arial"/>
          <w:b/>
          <w:sz w:val="23"/>
          <w:szCs w:val="23"/>
          <w:u w:val="single"/>
        </w:rPr>
      </w:pPr>
      <w:r w:rsidRPr="00183434">
        <w:rPr>
          <w:rFonts w:cs="Arial"/>
          <w:b/>
          <w:sz w:val="23"/>
          <w:szCs w:val="23"/>
          <w:u w:val="single"/>
        </w:rPr>
        <w:t>Budget Process</w:t>
      </w:r>
    </w:p>
    <w:p w14:paraId="7773B732" w14:textId="77777777" w:rsidR="00183434" w:rsidRPr="00183434" w:rsidRDefault="00183434" w:rsidP="00183434">
      <w:pPr>
        <w:jc w:val="both"/>
        <w:rPr>
          <w:rFonts w:cs="Arial"/>
          <w:sz w:val="23"/>
          <w:szCs w:val="23"/>
        </w:rPr>
      </w:pPr>
    </w:p>
    <w:p w14:paraId="2D47DFF8" w14:textId="77777777" w:rsidR="00183434" w:rsidRPr="00183434" w:rsidRDefault="00183434" w:rsidP="00183434">
      <w:pPr>
        <w:tabs>
          <w:tab w:val="num" w:pos="709"/>
        </w:tabs>
        <w:contextualSpacing/>
        <w:jc w:val="both"/>
        <w:rPr>
          <w:rFonts w:cs="Arial"/>
          <w:sz w:val="23"/>
          <w:szCs w:val="23"/>
        </w:rPr>
      </w:pPr>
      <w:r w:rsidRPr="00183434">
        <w:rPr>
          <w:rFonts w:cs="Arial"/>
          <w:sz w:val="23"/>
          <w:szCs w:val="23"/>
        </w:rPr>
        <w:t xml:space="preserve">The Council has well-established and robust budget processes. These have been followed when compiling the 2025/26 budget and medium-term projections. A prudent approach was taken to the estimates and assumptions used in the preparation of the budgets. In constructing the budget estimates, priority was given to funding existing and emerging service pressures. These were subject to rigorous review, scrutiny and challenge by budget holders, Corporate Leadership Team, and members. </w:t>
      </w:r>
    </w:p>
    <w:p w14:paraId="3967E8AA" w14:textId="77777777" w:rsidR="00183434" w:rsidRPr="00183434" w:rsidRDefault="00183434" w:rsidP="00183434">
      <w:pPr>
        <w:tabs>
          <w:tab w:val="num" w:pos="709"/>
        </w:tabs>
        <w:contextualSpacing/>
        <w:jc w:val="both"/>
        <w:rPr>
          <w:rFonts w:cs="Arial"/>
          <w:sz w:val="23"/>
          <w:szCs w:val="23"/>
        </w:rPr>
      </w:pPr>
    </w:p>
    <w:p w14:paraId="625584BE" w14:textId="77777777" w:rsidR="00183434" w:rsidRPr="00183434" w:rsidRDefault="00183434" w:rsidP="00183434">
      <w:pPr>
        <w:tabs>
          <w:tab w:val="num" w:pos="709"/>
        </w:tabs>
        <w:contextualSpacing/>
        <w:jc w:val="both"/>
        <w:rPr>
          <w:rFonts w:cs="Arial"/>
          <w:sz w:val="23"/>
          <w:szCs w:val="23"/>
        </w:rPr>
      </w:pPr>
      <w:r w:rsidRPr="00183434">
        <w:rPr>
          <w:rFonts w:cs="Arial"/>
          <w:sz w:val="23"/>
          <w:szCs w:val="23"/>
        </w:rPr>
        <w:t>The Council approved the General Fund Revenue Budget for 2025/26 on 26 February 2025. The 2025/26 budget was constructed in accordance with the Council’s budget principles and balanced with the use of £730k of the underspend from 2024/25.</w:t>
      </w:r>
    </w:p>
    <w:p w14:paraId="05D255B4" w14:textId="77777777" w:rsidR="00183434" w:rsidRPr="00183434" w:rsidRDefault="00183434" w:rsidP="00183434">
      <w:pPr>
        <w:tabs>
          <w:tab w:val="num" w:pos="709"/>
        </w:tabs>
        <w:contextualSpacing/>
        <w:jc w:val="both"/>
        <w:rPr>
          <w:rFonts w:cs="Arial"/>
          <w:sz w:val="23"/>
          <w:szCs w:val="23"/>
        </w:rPr>
      </w:pPr>
    </w:p>
    <w:p w14:paraId="712E8459" w14:textId="77777777" w:rsidR="00183434" w:rsidRPr="00183434" w:rsidRDefault="00183434" w:rsidP="00183434">
      <w:pPr>
        <w:tabs>
          <w:tab w:val="num" w:pos="709"/>
        </w:tabs>
        <w:contextualSpacing/>
        <w:jc w:val="both"/>
        <w:rPr>
          <w:rFonts w:cs="Arial"/>
          <w:sz w:val="23"/>
          <w:szCs w:val="23"/>
        </w:rPr>
      </w:pPr>
      <w:r w:rsidRPr="00183434">
        <w:rPr>
          <w:rFonts w:cs="Arial"/>
          <w:sz w:val="23"/>
          <w:szCs w:val="23"/>
        </w:rPr>
        <w:t xml:space="preserve">The MTFP assumed the delivery of £903km of new savings that were approved as part of the 2025/26 budget-setting process. These savings were developed in accordance with the thematic interventions set out in the Budget Strategy. </w:t>
      </w:r>
    </w:p>
    <w:p w14:paraId="20983FBF" w14:textId="77777777" w:rsidR="00183434" w:rsidRPr="00183434" w:rsidRDefault="00183434" w:rsidP="00183434">
      <w:pPr>
        <w:tabs>
          <w:tab w:val="num" w:pos="709"/>
        </w:tabs>
        <w:contextualSpacing/>
        <w:jc w:val="both"/>
        <w:rPr>
          <w:rFonts w:cs="Arial"/>
          <w:sz w:val="23"/>
          <w:szCs w:val="23"/>
        </w:rPr>
      </w:pPr>
    </w:p>
    <w:p w14:paraId="0BD24E25" w14:textId="77777777" w:rsidR="00183434" w:rsidRPr="00183434" w:rsidRDefault="00183434" w:rsidP="00183434">
      <w:pPr>
        <w:tabs>
          <w:tab w:val="num" w:pos="709"/>
        </w:tabs>
        <w:contextualSpacing/>
        <w:jc w:val="both"/>
        <w:rPr>
          <w:rFonts w:cs="Arial"/>
          <w:sz w:val="23"/>
          <w:szCs w:val="23"/>
        </w:rPr>
      </w:pPr>
      <w:r w:rsidRPr="00183434">
        <w:rPr>
          <w:rFonts w:cs="Arial"/>
          <w:sz w:val="23"/>
          <w:szCs w:val="23"/>
        </w:rPr>
        <w:t>The 2025/26 budget was developed with an aim to achieve a managed underspend to ease financial pressures anticipated in 2026/27. The Council has faced continued challenges related to inflation, service demand pressures, and funding. Despite these challenges, cost control and proactive financial management have resulted in an improved outturn.</w:t>
      </w:r>
    </w:p>
    <w:p w14:paraId="1E0C870F" w14:textId="77777777" w:rsidR="00183434" w:rsidRPr="00183434" w:rsidRDefault="00183434" w:rsidP="00183434">
      <w:pPr>
        <w:tabs>
          <w:tab w:val="num" w:pos="709"/>
        </w:tabs>
        <w:contextualSpacing/>
        <w:jc w:val="both"/>
        <w:rPr>
          <w:rFonts w:cs="Arial"/>
          <w:sz w:val="23"/>
          <w:szCs w:val="23"/>
          <w:highlight w:val="yellow"/>
        </w:rPr>
      </w:pPr>
    </w:p>
    <w:p w14:paraId="61A604F7"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r w:rsidRPr="00183434">
        <w:rPr>
          <w:rFonts w:cs="Arial"/>
          <w:sz w:val="23"/>
          <w:szCs w:val="23"/>
        </w:rPr>
        <w:t xml:space="preserve">The principal funding sources to pay for the General Fund Services (i.e. excluding Council Housing) are Government grant, the retained share of Business Rates income, Council Tax, fees, charges, and rental income from the Council’s industrial &amp; commercial property portfolio. </w:t>
      </w:r>
    </w:p>
    <w:p w14:paraId="3919729D"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p>
    <w:p w14:paraId="204EC6AE" w14:textId="77777777" w:rsidR="00183434" w:rsidRPr="00183434" w:rsidRDefault="00183434" w:rsidP="00183434">
      <w:pPr>
        <w:jc w:val="both"/>
        <w:rPr>
          <w:rFonts w:cs="Arial"/>
          <w:sz w:val="23"/>
          <w:szCs w:val="23"/>
        </w:rPr>
      </w:pPr>
      <w:r w:rsidRPr="00183434">
        <w:rPr>
          <w:rFonts w:cs="Arial"/>
          <w:sz w:val="23"/>
          <w:szCs w:val="23"/>
        </w:rPr>
        <w:t>The 2025/26 Council Budget was set at £13.067m and financed as follows:</w:t>
      </w:r>
    </w:p>
    <w:p w14:paraId="0928CC4B" w14:textId="77777777" w:rsidR="00183434" w:rsidRPr="00183434" w:rsidRDefault="00183434" w:rsidP="00183434">
      <w:pPr>
        <w:jc w:val="both"/>
        <w:rPr>
          <w:rFonts w:cs="Arial"/>
          <w:sz w:val="23"/>
          <w:szCs w:val="23"/>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6105"/>
        <w:gridCol w:w="1701"/>
        <w:gridCol w:w="1701"/>
      </w:tblGrid>
      <w:tr w:rsidR="00183434" w:rsidRPr="00183434" w14:paraId="5230CF78" w14:textId="77777777" w:rsidTr="00216B4A">
        <w:trPr>
          <w:jc w:val="center"/>
        </w:trPr>
        <w:tc>
          <w:tcPr>
            <w:tcW w:w="6106" w:type="dxa"/>
            <w:tcBorders>
              <w:bottom w:val="single" w:sz="4" w:space="0" w:color="auto"/>
            </w:tcBorders>
            <w:shd w:val="clear" w:color="auto" w:fill="F2F2F2"/>
            <w:vAlign w:val="center"/>
          </w:tcPr>
          <w:p w14:paraId="7D320CDE" w14:textId="77777777" w:rsidR="00183434" w:rsidRPr="00183434" w:rsidRDefault="00183434" w:rsidP="00183434">
            <w:pPr>
              <w:jc w:val="both"/>
              <w:rPr>
                <w:rFonts w:cs="Arial"/>
                <w:b/>
                <w:sz w:val="23"/>
                <w:szCs w:val="23"/>
              </w:rPr>
            </w:pPr>
          </w:p>
        </w:tc>
        <w:tc>
          <w:tcPr>
            <w:tcW w:w="1701" w:type="dxa"/>
            <w:tcBorders>
              <w:bottom w:val="single" w:sz="4" w:space="0" w:color="auto"/>
            </w:tcBorders>
            <w:shd w:val="clear" w:color="auto" w:fill="F2F2F2"/>
            <w:vAlign w:val="center"/>
          </w:tcPr>
          <w:p w14:paraId="0424A6A0" w14:textId="77777777" w:rsidR="00183434" w:rsidRPr="00183434" w:rsidRDefault="00183434" w:rsidP="00183434">
            <w:pPr>
              <w:ind w:right="188"/>
              <w:jc w:val="both"/>
              <w:rPr>
                <w:rFonts w:cs="Arial"/>
                <w:b/>
                <w:sz w:val="23"/>
                <w:szCs w:val="23"/>
              </w:rPr>
            </w:pPr>
            <w:r w:rsidRPr="00183434">
              <w:rPr>
                <w:rFonts w:cs="Arial"/>
                <w:b/>
                <w:sz w:val="23"/>
                <w:szCs w:val="23"/>
              </w:rPr>
              <w:t>Amount</w:t>
            </w:r>
          </w:p>
          <w:p w14:paraId="0D18F2EA" w14:textId="77777777" w:rsidR="00183434" w:rsidRPr="00183434" w:rsidRDefault="00183434" w:rsidP="00183434">
            <w:pPr>
              <w:ind w:right="188"/>
              <w:jc w:val="both"/>
              <w:rPr>
                <w:rFonts w:cs="Arial"/>
                <w:b/>
                <w:sz w:val="23"/>
                <w:szCs w:val="23"/>
              </w:rPr>
            </w:pPr>
            <w:r w:rsidRPr="00183434">
              <w:rPr>
                <w:rFonts w:cs="Arial"/>
                <w:b/>
                <w:sz w:val="23"/>
                <w:szCs w:val="23"/>
              </w:rPr>
              <w:t>£’000</w:t>
            </w:r>
          </w:p>
        </w:tc>
        <w:tc>
          <w:tcPr>
            <w:tcW w:w="1701" w:type="dxa"/>
            <w:tcBorders>
              <w:bottom w:val="single" w:sz="4" w:space="0" w:color="auto"/>
            </w:tcBorders>
            <w:vAlign w:val="center"/>
          </w:tcPr>
          <w:p w14:paraId="112BA39F" w14:textId="77777777" w:rsidR="00183434" w:rsidRPr="00183434" w:rsidRDefault="00183434" w:rsidP="00183434">
            <w:pPr>
              <w:ind w:right="254"/>
              <w:jc w:val="both"/>
              <w:rPr>
                <w:rFonts w:cs="Arial"/>
                <w:b/>
                <w:sz w:val="23"/>
                <w:szCs w:val="23"/>
              </w:rPr>
            </w:pPr>
            <w:r w:rsidRPr="00183434">
              <w:rPr>
                <w:rFonts w:cs="Arial"/>
                <w:b/>
                <w:sz w:val="23"/>
                <w:szCs w:val="23"/>
              </w:rPr>
              <w:t>Proportion of total</w:t>
            </w:r>
          </w:p>
        </w:tc>
      </w:tr>
      <w:tr w:rsidR="00183434" w:rsidRPr="00183434" w14:paraId="694BA85E" w14:textId="77777777" w:rsidTr="00216B4A">
        <w:trPr>
          <w:jc w:val="center"/>
        </w:trPr>
        <w:tc>
          <w:tcPr>
            <w:tcW w:w="6106" w:type="dxa"/>
            <w:tcBorders>
              <w:bottom w:val="dotted" w:sz="4" w:space="0" w:color="auto"/>
            </w:tcBorders>
            <w:shd w:val="clear" w:color="auto" w:fill="F2F2F2"/>
            <w:vAlign w:val="center"/>
          </w:tcPr>
          <w:p w14:paraId="35941E17" w14:textId="77777777" w:rsidR="00183434" w:rsidRPr="00183434" w:rsidRDefault="00183434" w:rsidP="00183434">
            <w:pPr>
              <w:jc w:val="both"/>
              <w:rPr>
                <w:rFonts w:cs="Arial"/>
                <w:sz w:val="23"/>
                <w:szCs w:val="23"/>
              </w:rPr>
            </w:pPr>
            <w:r w:rsidRPr="00183434">
              <w:rPr>
                <w:rFonts w:cs="Arial"/>
                <w:sz w:val="23"/>
                <w:szCs w:val="23"/>
              </w:rPr>
              <w:t xml:space="preserve">Government Funding (Revenue Support Grant, retained business rates and other grants) </w:t>
            </w:r>
          </w:p>
        </w:tc>
        <w:tc>
          <w:tcPr>
            <w:tcW w:w="1701" w:type="dxa"/>
            <w:tcBorders>
              <w:bottom w:val="dotted" w:sz="4" w:space="0" w:color="auto"/>
            </w:tcBorders>
            <w:shd w:val="clear" w:color="auto" w:fill="F2F2F2"/>
            <w:vAlign w:val="center"/>
          </w:tcPr>
          <w:p w14:paraId="0E5316A0" w14:textId="77777777" w:rsidR="00183434" w:rsidRPr="00183434" w:rsidRDefault="00183434" w:rsidP="00183434">
            <w:pPr>
              <w:ind w:right="188"/>
              <w:jc w:val="both"/>
              <w:rPr>
                <w:rFonts w:cs="Arial"/>
                <w:sz w:val="23"/>
                <w:szCs w:val="23"/>
              </w:rPr>
            </w:pPr>
            <w:r w:rsidRPr="00183434">
              <w:rPr>
                <w:rFonts w:cs="Arial"/>
                <w:sz w:val="23"/>
                <w:szCs w:val="23"/>
              </w:rPr>
              <w:t>6,968</w:t>
            </w:r>
          </w:p>
        </w:tc>
        <w:tc>
          <w:tcPr>
            <w:tcW w:w="1701" w:type="dxa"/>
            <w:tcBorders>
              <w:bottom w:val="dotted" w:sz="4" w:space="0" w:color="auto"/>
            </w:tcBorders>
            <w:vAlign w:val="center"/>
          </w:tcPr>
          <w:p w14:paraId="2497A96E" w14:textId="77777777" w:rsidR="00183434" w:rsidRPr="00183434" w:rsidRDefault="00183434" w:rsidP="00183434">
            <w:pPr>
              <w:ind w:right="254"/>
              <w:jc w:val="both"/>
              <w:rPr>
                <w:rFonts w:cs="Arial"/>
                <w:sz w:val="23"/>
                <w:szCs w:val="23"/>
              </w:rPr>
            </w:pPr>
            <w:r w:rsidRPr="00183434">
              <w:rPr>
                <w:rFonts w:cs="Arial"/>
                <w:sz w:val="23"/>
                <w:szCs w:val="23"/>
              </w:rPr>
              <w:t>53%</w:t>
            </w:r>
          </w:p>
        </w:tc>
      </w:tr>
      <w:tr w:rsidR="00183434" w:rsidRPr="00183434" w14:paraId="28E1564A" w14:textId="77777777" w:rsidTr="00216B4A">
        <w:trPr>
          <w:jc w:val="center"/>
        </w:trPr>
        <w:tc>
          <w:tcPr>
            <w:tcW w:w="6106" w:type="dxa"/>
            <w:tcBorders>
              <w:top w:val="dotted" w:sz="4" w:space="0" w:color="auto"/>
              <w:left w:val="single" w:sz="4" w:space="0" w:color="auto"/>
              <w:bottom w:val="dotted" w:sz="4" w:space="0" w:color="auto"/>
              <w:right w:val="single" w:sz="4" w:space="0" w:color="auto"/>
            </w:tcBorders>
            <w:shd w:val="clear" w:color="auto" w:fill="F2F2F2"/>
            <w:vAlign w:val="center"/>
          </w:tcPr>
          <w:p w14:paraId="1686FBF6" w14:textId="77777777" w:rsidR="00183434" w:rsidRPr="00183434" w:rsidRDefault="00183434" w:rsidP="00183434">
            <w:pPr>
              <w:jc w:val="both"/>
              <w:rPr>
                <w:rFonts w:cs="Arial"/>
                <w:sz w:val="23"/>
                <w:szCs w:val="23"/>
              </w:rPr>
            </w:pPr>
            <w:r w:rsidRPr="00183434">
              <w:rPr>
                <w:rFonts w:cs="Arial"/>
                <w:sz w:val="23"/>
                <w:szCs w:val="23"/>
              </w:rPr>
              <w:t xml:space="preserve">Council Tax </w:t>
            </w:r>
          </w:p>
        </w:tc>
        <w:tc>
          <w:tcPr>
            <w:tcW w:w="1701" w:type="dxa"/>
            <w:tcBorders>
              <w:top w:val="dotted" w:sz="4" w:space="0" w:color="auto"/>
              <w:left w:val="single" w:sz="4" w:space="0" w:color="auto"/>
              <w:bottom w:val="dotted" w:sz="4" w:space="0" w:color="auto"/>
              <w:right w:val="single" w:sz="4" w:space="0" w:color="auto"/>
            </w:tcBorders>
            <w:shd w:val="clear" w:color="auto" w:fill="F2F2F2"/>
            <w:vAlign w:val="center"/>
          </w:tcPr>
          <w:p w14:paraId="537CCFBA" w14:textId="77777777" w:rsidR="00183434" w:rsidRPr="00183434" w:rsidRDefault="00183434" w:rsidP="00183434">
            <w:pPr>
              <w:ind w:right="188"/>
              <w:jc w:val="both"/>
              <w:rPr>
                <w:rFonts w:cs="Arial"/>
                <w:sz w:val="23"/>
                <w:szCs w:val="23"/>
              </w:rPr>
            </w:pPr>
            <w:r w:rsidRPr="00183434">
              <w:rPr>
                <w:rFonts w:cs="Arial"/>
                <w:sz w:val="23"/>
                <w:szCs w:val="23"/>
              </w:rPr>
              <w:t>6,096</w:t>
            </w:r>
          </w:p>
        </w:tc>
        <w:tc>
          <w:tcPr>
            <w:tcW w:w="1701" w:type="dxa"/>
            <w:tcBorders>
              <w:top w:val="dotted" w:sz="4" w:space="0" w:color="auto"/>
              <w:left w:val="single" w:sz="4" w:space="0" w:color="auto"/>
              <w:bottom w:val="dotted" w:sz="4" w:space="0" w:color="auto"/>
              <w:right w:val="single" w:sz="4" w:space="0" w:color="auto"/>
            </w:tcBorders>
            <w:vAlign w:val="center"/>
          </w:tcPr>
          <w:p w14:paraId="7639F7B8" w14:textId="77777777" w:rsidR="00183434" w:rsidRPr="00183434" w:rsidRDefault="00183434" w:rsidP="00183434">
            <w:pPr>
              <w:ind w:right="254"/>
              <w:jc w:val="both"/>
              <w:rPr>
                <w:rFonts w:cs="Arial"/>
                <w:sz w:val="23"/>
                <w:szCs w:val="23"/>
              </w:rPr>
            </w:pPr>
            <w:r w:rsidRPr="00183434">
              <w:rPr>
                <w:rFonts w:cs="Arial"/>
                <w:sz w:val="23"/>
                <w:szCs w:val="23"/>
              </w:rPr>
              <w:t>47%</w:t>
            </w:r>
          </w:p>
        </w:tc>
      </w:tr>
      <w:tr w:rsidR="00183434" w:rsidRPr="00183434" w14:paraId="6A94B549" w14:textId="77777777" w:rsidTr="00216B4A">
        <w:trPr>
          <w:jc w:val="center"/>
        </w:trPr>
        <w:tc>
          <w:tcPr>
            <w:tcW w:w="6106" w:type="dxa"/>
            <w:tcBorders>
              <w:top w:val="single" w:sz="4" w:space="0" w:color="auto"/>
              <w:left w:val="single" w:sz="4" w:space="0" w:color="auto"/>
              <w:bottom w:val="single" w:sz="4" w:space="0" w:color="auto"/>
              <w:right w:val="single" w:sz="4" w:space="0" w:color="auto"/>
            </w:tcBorders>
            <w:shd w:val="clear" w:color="auto" w:fill="F2F2F2"/>
            <w:vAlign w:val="center"/>
          </w:tcPr>
          <w:p w14:paraId="67B825E1" w14:textId="77777777" w:rsidR="00183434" w:rsidRPr="00183434" w:rsidRDefault="00183434" w:rsidP="00183434">
            <w:pPr>
              <w:jc w:val="both"/>
              <w:rPr>
                <w:rFonts w:cs="Arial"/>
                <w:sz w:val="23"/>
                <w:szCs w:val="23"/>
              </w:rPr>
            </w:pPr>
            <w:r w:rsidRPr="00183434">
              <w:rPr>
                <w:rFonts w:cs="Arial"/>
                <w:sz w:val="23"/>
                <w:szCs w:val="23"/>
              </w:rPr>
              <w:t>Total Budget (after savings target)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1E921024" w14:textId="77777777" w:rsidR="00183434" w:rsidRPr="00183434" w:rsidRDefault="00183434" w:rsidP="00183434">
            <w:pPr>
              <w:ind w:right="188"/>
              <w:jc w:val="both"/>
              <w:rPr>
                <w:rFonts w:cs="Arial"/>
                <w:sz w:val="23"/>
                <w:szCs w:val="23"/>
              </w:rPr>
            </w:pPr>
            <w:r w:rsidRPr="00183434">
              <w:rPr>
                <w:rFonts w:cs="Arial"/>
                <w:sz w:val="23"/>
                <w:szCs w:val="23"/>
              </w:rPr>
              <w:t>13,067</w:t>
            </w:r>
          </w:p>
        </w:tc>
        <w:tc>
          <w:tcPr>
            <w:tcW w:w="1701" w:type="dxa"/>
            <w:tcBorders>
              <w:top w:val="single" w:sz="4" w:space="0" w:color="auto"/>
              <w:left w:val="single" w:sz="4" w:space="0" w:color="auto"/>
              <w:bottom w:val="single" w:sz="4" w:space="0" w:color="auto"/>
              <w:right w:val="single" w:sz="4" w:space="0" w:color="auto"/>
            </w:tcBorders>
            <w:vAlign w:val="center"/>
          </w:tcPr>
          <w:p w14:paraId="64820207" w14:textId="77777777" w:rsidR="00183434" w:rsidRPr="00183434" w:rsidRDefault="00183434" w:rsidP="00183434">
            <w:pPr>
              <w:ind w:right="254"/>
              <w:jc w:val="both"/>
              <w:rPr>
                <w:rFonts w:cs="Arial"/>
                <w:sz w:val="23"/>
                <w:szCs w:val="23"/>
              </w:rPr>
            </w:pPr>
            <w:r w:rsidRPr="00183434">
              <w:rPr>
                <w:rFonts w:cs="Arial"/>
                <w:sz w:val="23"/>
                <w:szCs w:val="23"/>
              </w:rPr>
              <w:t>100%</w:t>
            </w:r>
          </w:p>
        </w:tc>
      </w:tr>
    </w:tbl>
    <w:p w14:paraId="65FB9D31" w14:textId="77777777" w:rsidR="00183434" w:rsidRPr="00183434" w:rsidRDefault="00183434" w:rsidP="00183434">
      <w:pPr>
        <w:jc w:val="both"/>
        <w:rPr>
          <w:rFonts w:cs="Arial"/>
          <w:sz w:val="23"/>
          <w:szCs w:val="23"/>
          <w:highlight w:val="yellow"/>
        </w:rPr>
      </w:pPr>
    </w:p>
    <w:p w14:paraId="00CA3B51" w14:textId="77777777" w:rsidR="00183434" w:rsidRPr="00183434" w:rsidRDefault="00183434" w:rsidP="00183434">
      <w:pPr>
        <w:jc w:val="both"/>
        <w:rPr>
          <w:rFonts w:cs="Arial"/>
          <w:b/>
          <w:sz w:val="23"/>
          <w:szCs w:val="23"/>
          <w:highlight w:val="cyan"/>
          <w:u w:val="single"/>
        </w:rPr>
      </w:pPr>
    </w:p>
    <w:p w14:paraId="69525615" w14:textId="77777777" w:rsidR="00183434" w:rsidRPr="00183434" w:rsidRDefault="00183434" w:rsidP="00183434">
      <w:pPr>
        <w:jc w:val="both"/>
        <w:rPr>
          <w:rFonts w:cs="Arial"/>
          <w:b/>
          <w:sz w:val="23"/>
          <w:szCs w:val="23"/>
          <w:u w:val="single"/>
        </w:rPr>
      </w:pPr>
      <w:r w:rsidRPr="00183434">
        <w:rPr>
          <w:rFonts w:cs="Arial"/>
          <w:b/>
          <w:sz w:val="23"/>
          <w:szCs w:val="23"/>
          <w:u w:val="single"/>
        </w:rPr>
        <w:t>Revenue Budget Outturn</w:t>
      </w:r>
    </w:p>
    <w:p w14:paraId="16BD64A9" w14:textId="77777777" w:rsidR="00183434" w:rsidRPr="00183434" w:rsidRDefault="00183434" w:rsidP="00183434">
      <w:pPr>
        <w:jc w:val="both"/>
        <w:rPr>
          <w:rFonts w:cs="Arial"/>
          <w:b/>
          <w:sz w:val="23"/>
          <w:szCs w:val="23"/>
          <w:highlight w:val="cyan"/>
          <w:u w:val="single"/>
        </w:rPr>
      </w:pPr>
    </w:p>
    <w:p w14:paraId="7ACB5E17"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r w:rsidRPr="00183434">
        <w:rPr>
          <w:rFonts w:cs="Arial"/>
          <w:sz w:val="23"/>
          <w:szCs w:val="23"/>
        </w:rPr>
        <w:t xml:space="preserve">The draft outturn position is a favourable variance of £1.261m against the Council’s net General Fund revenue budget of £13.067m and represents a significant managed underspend. </w:t>
      </w:r>
    </w:p>
    <w:p w14:paraId="66E5891F"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p>
    <w:p w14:paraId="0ECA5257"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highlight w:val="yellow"/>
        </w:rPr>
      </w:pPr>
      <w:r w:rsidRPr="00183434">
        <w:rPr>
          <w:rFonts w:cs="Arial"/>
          <w:sz w:val="23"/>
          <w:szCs w:val="23"/>
        </w:rPr>
        <w:t>Some of the underspends reflected in the outturn are one off in nature and have arisen from a managed underspend, where deliberate actions have been taken to reduce expenditure without impacting on service delivery. Other areas of underspending have been driven by better-than expected cost reductions and increased income projections.</w:t>
      </w:r>
    </w:p>
    <w:p w14:paraId="02C5928D" w14:textId="30EAB927" w:rsidR="00183434" w:rsidRDefault="00183434">
      <w:pPr>
        <w:rPr>
          <w:rFonts w:cs="Arial"/>
          <w:sz w:val="23"/>
          <w:szCs w:val="23"/>
        </w:rPr>
      </w:pPr>
      <w:r>
        <w:rPr>
          <w:rFonts w:cs="Arial"/>
          <w:sz w:val="23"/>
          <w:szCs w:val="23"/>
        </w:rPr>
        <w:br w:type="page"/>
      </w:r>
    </w:p>
    <w:p w14:paraId="37CDCBF5"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p>
    <w:tbl>
      <w:tblPr>
        <w:tblW w:w="9533" w:type="dxa"/>
        <w:tblLook w:val="04A0" w:firstRow="1" w:lastRow="0" w:firstColumn="1" w:lastColumn="0" w:noHBand="0" w:noVBand="1"/>
      </w:tblPr>
      <w:tblGrid>
        <w:gridCol w:w="5290"/>
        <w:gridCol w:w="1419"/>
        <w:gridCol w:w="1419"/>
        <w:gridCol w:w="1405"/>
      </w:tblGrid>
      <w:tr w:rsidR="00183434" w:rsidRPr="00183434" w14:paraId="716666A2" w14:textId="77777777" w:rsidTr="00216B4A">
        <w:trPr>
          <w:trHeight w:val="284"/>
          <w:tblHeader/>
        </w:trPr>
        <w:tc>
          <w:tcPr>
            <w:tcW w:w="95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093CE83"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General Fund 2025/26 Outturn by directorate/service</w:t>
            </w:r>
          </w:p>
        </w:tc>
      </w:tr>
      <w:tr w:rsidR="00183434" w:rsidRPr="00183434" w14:paraId="4B39506E" w14:textId="77777777" w:rsidTr="00216B4A">
        <w:trPr>
          <w:trHeight w:val="284"/>
          <w:tblHeader/>
        </w:trPr>
        <w:tc>
          <w:tcPr>
            <w:tcW w:w="5290" w:type="dxa"/>
            <w:tcBorders>
              <w:top w:val="nil"/>
              <w:left w:val="single" w:sz="4" w:space="0" w:color="auto"/>
              <w:bottom w:val="single" w:sz="4" w:space="0" w:color="auto"/>
              <w:right w:val="single" w:sz="4" w:space="0" w:color="auto"/>
            </w:tcBorders>
            <w:shd w:val="clear" w:color="000000" w:fill="FFFFFF"/>
            <w:noWrap/>
            <w:vAlign w:val="center"/>
            <w:hideMark/>
          </w:tcPr>
          <w:p w14:paraId="007C4D1E"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Directorate/Service</w:t>
            </w:r>
          </w:p>
        </w:tc>
        <w:tc>
          <w:tcPr>
            <w:tcW w:w="1419" w:type="dxa"/>
            <w:tcBorders>
              <w:top w:val="single" w:sz="4" w:space="0" w:color="auto"/>
              <w:left w:val="single" w:sz="4" w:space="0" w:color="auto"/>
              <w:bottom w:val="single" w:sz="4" w:space="0" w:color="auto"/>
              <w:right w:val="nil"/>
            </w:tcBorders>
            <w:shd w:val="clear" w:color="000000" w:fill="FFFFFF"/>
            <w:vAlign w:val="bottom"/>
            <w:hideMark/>
          </w:tcPr>
          <w:p w14:paraId="3BA7198B"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 xml:space="preserve">Latest </w:t>
            </w:r>
            <w:r w:rsidRPr="00183434">
              <w:rPr>
                <w:rFonts w:cs="Arial"/>
                <w:b/>
                <w:bCs/>
                <w:color w:val="000000"/>
                <w:sz w:val="23"/>
                <w:szCs w:val="23"/>
              </w:rPr>
              <w:br/>
              <w:t xml:space="preserve">Budget </w:t>
            </w:r>
            <w:r w:rsidRPr="00183434">
              <w:rPr>
                <w:rFonts w:cs="Arial"/>
                <w:b/>
                <w:bCs/>
                <w:color w:val="000000"/>
                <w:sz w:val="23"/>
                <w:szCs w:val="23"/>
              </w:rPr>
              <w:br/>
              <w:t>£’000</w:t>
            </w:r>
          </w:p>
        </w:tc>
        <w:tc>
          <w:tcPr>
            <w:tcW w:w="1419" w:type="dxa"/>
            <w:tcBorders>
              <w:top w:val="nil"/>
              <w:left w:val="single" w:sz="4" w:space="0" w:color="auto"/>
              <w:bottom w:val="single" w:sz="4" w:space="0" w:color="auto"/>
              <w:right w:val="single" w:sz="4" w:space="0" w:color="auto"/>
            </w:tcBorders>
            <w:shd w:val="clear" w:color="auto" w:fill="FFFFFF" w:themeFill="background1"/>
            <w:vAlign w:val="bottom"/>
            <w:hideMark/>
          </w:tcPr>
          <w:p w14:paraId="148BB255"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 xml:space="preserve">Outturn </w:t>
            </w:r>
            <w:r w:rsidRPr="00183434">
              <w:rPr>
                <w:rFonts w:cs="Arial"/>
                <w:b/>
                <w:bCs/>
                <w:color w:val="000000"/>
                <w:sz w:val="23"/>
                <w:szCs w:val="23"/>
              </w:rPr>
              <w:br/>
              <w:t>Actuals</w:t>
            </w:r>
            <w:r w:rsidRPr="00183434">
              <w:rPr>
                <w:rFonts w:cs="Arial"/>
                <w:b/>
                <w:bCs/>
                <w:color w:val="000000"/>
                <w:sz w:val="23"/>
                <w:szCs w:val="23"/>
              </w:rPr>
              <w:br/>
              <w:t>£’000</w:t>
            </w:r>
          </w:p>
        </w:tc>
        <w:tc>
          <w:tcPr>
            <w:tcW w:w="1403" w:type="dxa"/>
            <w:tcBorders>
              <w:top w:val="nil"/>
              <w:left w:val="nil"/>
              <w:bottom w:val="single" w:sz="4" w:space="0" w:color="auto"/>
              <w:right w:val="single" w:sz="4" w:space="0" w:color="auto"/>
            </w:tcBorders>
            <w:shd w:val="clear" w:color="auto" w:fill="F2F2F2" w:themeFill="background1" w:themeFillShade="F2"/>
            <w:vAlign w:val="bottom"/>
            <w:hideMark/>
          </w:tcPr>
          <w:p w14:paraId="4E4514BC"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 xml:space="preserve">Outturn </w:t>
            </w:r>
            <w:r w:rsidRPr="00183434">
              <w:rPr>
                <w:rFonts w:cs="Arial"/>
                <w:b/>
                <w:bCs/>
                <w:color w:val="000000"/>
                <w:sz w:val="23"/>
                <w:szCs w:val="23"/>
              </w:rPr>
              <w:br/>
              <w:t>Variance</w:t>
            </w:r>
            <w:r w:rsidRPr="00183434">
              <w:rPr>
                <w:rFonts w:cs="Arial"/>
                <w:b/>
                <w:bCs/>
                <w:color w:val="000000"/>
                <w:sz w:val="23"/>
                <w:szCs w:val="23"/>
              </w:rPr>
              <w:br/>
              <w:t>£’000</w:t>
            </w:r>
          </w:p>
        </w:tc>
      </w:tr>
      <w:tr w:rsidR="00183434" w:rsidRPr="00183434" w14:paraId="0A75A971" w14:textId="77777777" w:rsidTr="00216B4A">
        <w:trPr>
          <w:trHeight w:val="284"/>
        </w:trPr>
        <w:tc>
          <w:tcPr>
            <w:tcW w:w="5290" w:type="dxa"/>
            <w:tcBorders>
              <w:top w:val="nil"/>
              <w:left w:val="single" w:sz="4" w:space="0" w:color="auto"/>
              <w:bottom w:val="single" w:sz="4" w:space="0" w:color="auto"/>
              <w:right w:val="single" w:sz="4" w:space="0" w:color="auto"/>
            </w:tcBorders>
            <w:shd w:val="clear" w:color="000000" w:fill="F2F2F2"/>
            <w:noWrap/>
            <w:vAlign w:val="center"/>
            <w:hideMark/>
          </w:tcPr>
          <w:p w14:paraId="70CF6785"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Chief Executives / Corporate / Governance</w:t>
            </w:r>
          </w:p>
        </w:tc>
        <w:tc>
          <w:tcPr>
            <w:tcW w:w="1419" w:type="dxa"/>
            <w:tcBorders>
              <w:top w:val="nil"/>
              <w:left w:val="single" w:sz="4" w:space="0" w:color="auto"/>
              <w:bottom w:val="single" w:sz="4" w:space="0" w:color="auto"/>
              <w:right w:val="nil"/>
            </w:tcBorders>
            <w:shd w:val="clear" w:color="000000" w:fill="F2F2F2"/>
            <w:vAlign w:val="center"/>
            <w:hideMark/>
          </w:tcPr>
          <w:p w14:paraId="5FC3582B"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2,551</w:t>
            </w:r>
          </w:p>
        </w:tc>
        <w:tc>
          <w:tcPr>
            <w:tcW w:w="14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1A5764"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2,622</w:t>
            </w:r>
          </w:p>
        </w:tc>
        <w:tc>
          <w:tcPr>
            <w:tcW w:w="1403" w:type="dxa"/>
            <w:tcBorders>
              <w:top w:val="nil"/>
              <w:left w:val="nil"/>
              <w:bottom w:val="single" w:sz="4" w:space="0" w:color="auto"/>
              <w:right w:val="single" w:sz="4" w:space="0" w:color="auto"/>
            </w:tcBorders>
            <w:shd w:val="clear" w:color="auto" w:fill="D9D9D9" w:themeFill="background1" w:themeFillShade="D9"/>
            <w:vAlign w:val="center"/>
            <w:hideMark/>
          </w:tcPr>
          <w:p w14:paraId="61977523"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71</w:t>
            </w:r>
          </w:p>
        </w:tc>
      </w:tr>
      <w:tr w:rsidR="00183434" w:rsidRPr="00183434" w14:paraId="4A32CDA1"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5EF212D7" w14:textId="77777777" w:rsidR="00183434" w:rsidRPr="00183434" w:rsidRDefault="00183434" w:rsidP="00183434">
            <w:pPr>
              <w:jc w:val="both"/>
              <w:rPr>
                <w:rFonts w:cs="Arial"/>
                <w:color w:val="000000"/>
                <w:sz w:val="23"/>
                <w:szCs w:val="23"/>
              </w:rPr>
            </w:pPr>
            <w:r w:rsidRPr="00183434">
              <w:rPr>
                <w:rFonts w:cs="Arial"/>
                <w:color w:val="000000"/>
                <w:sz w:val="23"/>
                <w:szCs w:val="23"/>
              </w:rPr>
              <w:t xml:space="preserve">Economic Development </w:t>
            </w:r>
          </w:p>
        </w:tc>
        <w:tc>
          <w:tcPr>
            <w:tcW w:w="1419" w:type="dxa"/>
            <w:tcBorders>
              <w:top w:val="nil"/>
              <w:left w:val="nil"/>
              <w:bottom w:val="nil"/>
              <w:right w:val="nil"/>
            </w:tcBorders>
            <w:shd w:val="clear" w:color="000000" w:fill="FFFFFF"/>
            <w:vAlign w:val="center"/>
            <w:hideMark/>
          </w:tcPr>
          <w:p w14:paraId="07C9A431" w14:textId="77777777" w:rsidR="00183434" w:rsidRPr="00183434" w:rsidRDefault="00183434" w:rsidP="00183434">
            <w:pPr>
              <w:jc w:val="both"/>
              <w:rPr>
                <w:rFonts w:cs="Arial"/>
                <w:sz w:val="23"/>
                <w:szCs w:val="23"/>
              </w:rPr>
            </w:pPr>
            <w:r w:rsidRPr="00183434">
              <w:rPr>
                <w:rFonts w:cs="Arial"/>
                <w:sz w:val="23"/>
                <w:szCs w:val="23"/>
              </w:rPr>
              <w:t>-153</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5DAC965C" w14:textId="77777777" w:rsidR="00183434" w:rsidRPr="00183434" w:rsidRDefault="00183434" w:rsidP="00183434">
            <w:pPr>
              <w:jc w:val="both"/>
              <w:rPr>
                <w:rFonts w:cs="Arial"/>
                <w:sz w:val="23"/>
                <w:szCs w:val="23"/>
              </w:rPr>
            </w:pPr>
            <w:r w:rsidRPr="00183434">
              <w:rPr>
                <w:rFonts w:cs="Arial"/>
                <w:sz w:val="23"/>
                <w:szCs w:val="23"/>
              </w:rPr>
              <w:t>-364</w:t>
            </w:r>
          </w:p>
        </w:tc>
        <w:tc>
          <w:tcPr>
            <w:tcW w:w="1403" w:type="dxa"/>
            <w:tcBorders>
              <w:top w:val="nil"/>
              <w:left w:val="nil"/>
              <w:bottom w:val="nil"/>
              <w:right w:val="single" w:sz="4" w:space="0" w:color="auto"/>
            </w:tcBorders>
            <w:shd w:val="clear" w:color="auto" w:fill="F2F2F2" w:themeFill="background1" w:themeFillShade="F2"/>
            <w:vAlign w:val="center"/>
            <w:hideMark/>
          </w:tcPr>
          <w:p w14:paraId="411127DB" w14:textId="77777777" w:rsidR="00183434" w:rsidRPr="00183434" w:rsidRDefault="00183434" w:rsidP="00183434">
            <w:pPr>
              <w:jc w:val="both"/>
              <w:rPr>
                <w:rFonts w:cs="Arial"/>
                <w:sz w:val="23"/>
                <w:szCs w:val="23"/>
              </w:rPr>
            </w:pPr>
            <w:r w:rsidRPr="00183434">
              <w:rPr>
                <w:rFonts w:cs="Arial"/>
                <w:sz w:val="23"/>
                <w:szCs w:val="23"/>
              </w:rPr>
              <w:t>-211</w:t>
            </w:r>
          </w:p>
        </w:tc>
      </w:tr>
      <w:tr w:rsidR="00183434" w:rsidRPr="00183434" w14:paraId="6C76C587"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1A0787DC" w14:textId="77777777" w:rsidR="00183434" w:rsidRPr="00183434" w:rsidRDefault="00183434" w:rsidP="00183434">
            <w:pPr>
              <w:jc w:val="both"/>
              <w:rPr>
                <w:rFonts w:cs="Arial"/>
                <w:color w:val="000000"/>
                <w:sz w:val="23"/>
                <w:szCs w:val="23"/>
              </w:rPr>
            </w:pPr>
            <w:r w:rsidRPr="00183434">
              <w:rPr>
                <w:rFonts w:cs="Arial"/>
                <w:color w:val="000000"/>
                <w:sz w:val="23"/>
                <w:szCs w:val="23"/>
              </w:rPr>
              <w:t xml:space="preserve">Other Economic Growth </w:t>
            </w:r>
          </w:p>
        </w:tc>
        <w:tc>
          <w:tcPr>
            <w:tcW w:w="1419" w:type="dxa"/>
            <w:tcBorders>
              <w:top w:val="nil"/>
              <w:left w:val="nil"/>
              <w:bottom w:val="nil"/>
              <w:right w:val="nil"/>
            </w:tcBorders>
            <w:shd w:val="clear" w:color="000000" w:fill="FFFFFF"/>
            <w:vAlign w:val="center"/>
            <w:hideMark/>
          </w:tcPr>
          <w:p w14:paraId="2DF3CBC1" w14:textId="77777777" w:rsidR="00183434" w:rsidRPr="00183434" w:rsidRDefault="00183434" w:rsidP="00183434">
            <w:pPr>
              <w:jc w:val="both"/>
              <w:rPr>
                <w:rFonts w:cs="Arial"/>
                <w:sz w:val="23"/>
                <w:szCs w:val="23"/>
              </w:rPr>
            </w:pPr>
            <w:r w:rsidRPr="00183434">
              <w:rPr>
                <w:rFonts w:cs="Arial"/>
                <w:sz w:val="23"/>
                <w:szCs w:val="23"/>
              </w:rPr>
              <w:t>-1,444</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7CDC73DE" w14:textId="77777777" w:rsidR="00183434" w:rsidRPr="00183434" w:rsidRDefault="00183434" w:rsidP="00183434">
            <w:pPr>
              <w:jc w:val="both"/>
              <w:rPr>
                <w:rFonts w:cs="Arial"/>
                <w:sz w:val="23"/>
                <w:szCs w:val="23"/>
              </w:rPr>
            </w:pPr>
            <w:r w:rsidRPr="00183434">
              <w:rPr>
                <w:rFonts w:cs="Arial"/>
                <w:sz w:val="23"/>
                <w:szCs w:val="23"/>
              </w:rPr>
              <w:t>-1,457</w:t>
            </w:r>
          </w:p>
        </w:tc>
        <w:tc>
          <w:tcPr>
            <w:tcW w:w="1403" w:type="dxa"/>
            <w:tcBorders>
              <w:top w:val="nil"/>
              <w:left w:val="nil"/>
              <w:bottom w:val="nil"/>
              <w:right w:val="single" w:sz="4" w:space="0" w:color="auto"/>
            </w:tcBorders>
            <w:shd w:val="clear" w:color="auto" w:fill="F2F2F2" w:themeFill="background1" w:themeFillShade="F2"/>
            <w:vAlign w:val="center"/>
            <w:hideMark/>
          </w:tcPr>
          <w:p w14:paraId="3055F3CD" w14:textId="77777777" w:rsidR="00183434" w:rsidRPr="00183434" w:rsidRDefault="00183434" w:rsidP="00183434">
            <w:pPr>
              <w:jc w:val="both"/>
              <w:rPr>
                <w:rFonts w:cs="Arial"/>
                <w:sz w:val="23"/>
                <w:szCs w:val="23"/>
              </w:rPr>
            </w:pPr>
            <w:r w:rsidRPr="00183434">
              <w:rPr>
                <w:rFonts w:cs="Arial"/>
                <w:sz w:val="23"/>
                <w:szCs w:val="23"/>
              </w:rPr>
              <w:t>-12</w:t>
            </w:r>
          </w:p>
        </w:tc>
      </w:tr>
      <w:tr w:rsidR="00183434" w:rsidRPr="00183434" w14:paraId="707D852B" w14:textId="77777777" w:rsidTr="00216B4A">
        <w:trPr>
          <w:trHeight w:val="284"/>
        </w:trPr>
        <w:tc>
          <w:tcPr>
            <w:tcW w:w="52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84C5E1"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Economic Growth</w:t>
            </w:r>
          </w:p>
        </w:tc>
        <w:tc>
          <w:tcPr>
            <w:tcW w:w="141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A809B4" w14:textId="77777777" w:rsidR="00183434" w:rsidRPr="00183434" w:rsidRDefault="00183434" w:rsidP="00183434">
            <w:pPr>
              <w:jc w:val="both"/>
              <w:rPr>
                <w:rFonts w:cs="Arial"/>
                <w:b/>
                <w:bCs/>
                <w:sz w:val="23"/>
                <w:szCs w:val="23"/>
              </w:rPr>
            </w:pPr>
            <w:r w:rsidRPr="00183434">
              <w:rPr>
                <w:rFonts w:cs="Arial"/>
                <w:b/>
                <w:bCs/>
                <w:sz w:val="23"/>
                <w:szCs w:val="23"/>
              </w:rPr>
              <w:t>-1,597</w:t>
            </w:r>
          </w:p>
        </w:tc>
        <w:tc>
          <w:tcPr>
            <w:tcW w:w="14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890460" w14:textId="77777777" w:rsidR="00183434" w:rsidRPr="00183434" w:rsidRDefault="00183434" w:rsidP="00183434">
            <w:pPr>
              <w:jc w:val="both"/>
              <w:rPr>
                <w:rFonts w:cs="Arial"/>
                <w:b/>
                <w:bCs/>
                <w:sz w:val="23"/>
                <w:szCs w:val="23"/>
              </w:rPr>
            </w:pPr>
            <w:r w:rsidRPr="00183434">
              <w:rPr>
                <w:rFonts w:cs="Arial"/>
                <w:b/>
                <w:bCs/>
                <w:sz w:val="23"/>
                <w:szCs w:val="23"/>
              </w:rPr>
              <w:t>-1,821</w:t>
            </w:r>
          </w:p>
        </w:tc>
        <w:tc>
          <w:tcPr>
            <w:tcW w:w="14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79A360" w14:textId="77777777" w:rsidR="00183434" w:rsidRPr="00183434" w:rsidRDefault="00183434" w:rsidP="00183434">
            <w:pPr>
              <w:jc w:val="both"/>
              <w:rPr>
                <w:rFonts w:cs="Arial"/>
                <w:b/>
                <w:bCs/>
                <w:sz w:val="23"/>
                <w:szCs w:val="23"/>
              </w:rPr>
            </w:pPr>
            <w:r w:rsidRPr="00183434">
              <w:rPr>
                <w:rFonts w:cs="Arial"/>
                <w:b/>
                <w:bCs/>
                <w:sz w:val="23"/>
                <w:szCs w:val="23"/>
              </w:rPr>
              <w:t>-223</w:t>
            </w:r>
          </w:p>
        </w:tc>
      </w:tr>
      <w:tr w:rsidR="00183434" w:rsidRPr="00183434" w14:paraId="283BAEE7" w14:textId="77777777" w:rsidTr="00216B4A">
        <w:trPr>
          <w:trHeight w:val="284"/>
        </w:trPr>
        <w:tc>
          <w:tcPr>
            <w:tcW w:w="5290" w:type="dxa"/>
            <w:tcBorders>
              <w:top w:val="nil"/>
              <w:left w:val="single" w:sz="4" w:space="0" w:color="auto"/>
              <w:bottom w:val="single" w:sz="4" w:space="0" w:color="auto"/>
              <w:right w:val="single" w:sz="4" w:space="0" w:color="auto"/>
            </w:tcBorders>
            <w:shd w:val="clear" w:color="000000" w:fill="F2F2F2"/>
            <w:noWrap/>
            <w:vAlign w:val="center"/>
            <w:hideMark/>
          </w:tcPr>
          <w:p w14:paraId="1A6AC706"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Finance</w:t>
            </w:r>
          </w:p>
        </w:tc>
        <w:tc>
          <w:tcPr>
            <w:tcW w:w="1419" w:type="dxa"/>
            <w:tcBorders>
              <w:top w:val="nil"/>
              <w:left w:val="single" w:sz="4" w:space="0" w:color="auto"/>
              <w:bottom w:val="single" w:sz="4" w:space="0" w:color="auto"/>
              <w:right w:val="nil"/>
            </w:tcBorders>
            <w:shd w:val="clear" w:color="000000" w:fill="F2F2F2"/>
            <w:vAlign w:val="center"/>
            <w:hideMark/>
          </w:tcPr>
          <w:p w14:paraId="0D61E329" w14:textId="77777777" w:rsidR="00183434" w:rsidRPr="00183434" w:rsidRDefault="00183434" w:rsidP="00183434">
            <w:pPr>
              <w:jc w:val="both"/>
              <w:rPr>
                <w:rFonts w:cs="Arial"/>
                <w:b/>
                <w:bCs/>
                <w:sz w:val="23"/>
                <w:szCs w:val="23"/>
              </w:rPr>
            </w:pPr>
            <w:r w:rsidRPr="00183434">
              <w:rPr>
                <w:rFonts w:cs="Arial"/>
                <w:b/>
                <w:bCs/>
                <w:sz w:val="23"/>
                <w:szCs w:val="23"/>
              </w:rPr>
              <w:t>1,148</w:t>
            </w:r>
          </w:p>
        </w:tc>
        <w:tc>
          <w:tcPr>
            <w:tcW w:w="14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545549" w14:textId="77777777" w:rsidR="00183434" w:rsidRPr="00183434" w:rsidRDefault="00183434" w:rsidP="00183434">
            <w:pPr>
              <w:jc w:val="both"/>
              <w:rPr>
                <w:rFonts w:cs="Arial"/>
                <w:b/>
                <w:bCs/>
                <w:sz w:val="23"/>
                <w:szCs w:val="23"/>
              </w:rPr>
            </w:pPr>
            <w:r w:rsidRPr="00183434">
              <w:rPr>
                <w:rFonts w:cs="Arial"/>
                <w:b/>
                <w:bCs/>
                <w:sz w:val="23"/>
                <w:szCs w:val="23"/>
              </w:rPr>
              <w:t>1,045</w:t>
            </w:r>
          </w:p>
        </w:tc>
        <w:tc>
          <w:tcPr>
            <w:tcW w:w="1403" w:type="dxa"/>
            <w:tcBorders>
              <w:top w:val="nil"/>
              <w:left w:val="nil"/>
              <w:bottom w:val="single" w:sz="4" w:space="0" w:color="auto"/>
              <w:right w:val="single" w:sz="4" w:space="0" w:color="auto"/>
            </w:tcBorders>
            <w:shd w:val="clear" w:color="auto" w:fill="D9D9D9" w:themeFill="background1" w:themeFillShade="D9"/>
            <w:vAlign w:val="center"/>
            <w:hideMark/>
          </w:tcPr>
          <w:p w14:paraId="6158D6F7" w14:textId="77777777" w:rsidR="00183434" w:rsidRPr="00183434" w:rsidRDefault="00183434" w:rsidP="00183434">
            <w:pPr>
              <w:jc w:val="both"/>
              <w:rPr>
                <w:rFonts w:cs="Arial"/>
                <w:b/>
                <w:bCs/>
                <w:sz w:val="23"/>
                <w:szCs w:val="23"/>
              </w:rPr>
            </w:pPr>
            <w:r w:rsidRPr="00183434">
              <w:rPr>
                <w:rFonts w:cs="Arial"/>
                <w:b/>
                <w:bCs/>
                <w:sz w:val="23"/>
                <w:szCs w:val="23"/>
              </w:rPr>
              <w:t>-104</w:t>
            </w:r>
          </w:p>
        </w:tc>
      </w:tr>
      <w:tr w:rsidR="00183434" w:rsidRPr="00183434" w14:paraId="291B60C6"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14B1A059" w14:textId="77777777" w:rsidR="00183434" w:rsidRPr="00183434" w:rsidRDefault="00183434" w:rsidP="00183434">
            <w:pPr>
              <w:jc w:val="both"/>
              <w:rPr>
                <w:rFonts w:cs="Arial"/>
                <w:sz w:val="23"/>
                <w:szCs w:val="23"/>
              </w:rPr>
            </w:pPr>
            <w:r w:rsidRPr="00183434">
              <w:rPr>
                <w:rFonts w:cs="Arial"/>
                <w:sz w:val="23"/>
                <w:szCs w:val="23"/>
              </w:rPr>
              <w:t>Customer Services / Revenues / Benefits</w:t>
            </w:r>
          </w:p>
        </w:tc>
        <w:tc>
          <w:tcPr>
            <w:tcW w:w="1419" w:type="dxa"/>
            <w:tcBorders>
              <w:top w:val="nil"/>
              <w:left w:val="nil"/>
              <w:bottom w:val="nil"/>
              <w:right w:val="nil"/>
            </w:tcBorders>
            <w:shd w:val="clear" w:color="000000" w:fill="FFFFFF"/>
            <w:vAlign w:val="center"/>
            <w:hideMark/>
          </w:tcPr>
          <w:p w14:paraId="7D61344B" w14:textId="77777777" w:rsidR="00183434" w:rsidRPr="00183434" w:rsidRDefault="00183434" w:rsidP="00183434">
            <w:pPr>
              <w:jc w:val="both"/>
              <w:rPr>
                <w:rFonts w:cs="Arial"/>
                <w:sz w:val="23"/>
                <w:szCs w:val="23"/>
              </w:rPr>
            </w:pPr>
            <w:r w:rsidRPr="00183434">
              <w:rPr>
                <w:rFonts w:cs="Arial"/>
                <w:sz w:val="23"/>
                <w:szCs w:val="23"/>
              </w:rPr>
              <w:t>2,570</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152029C5" w14:textId="77777777" w:rsidR="00183434" w:rsidRPr="00183434" w:rsidRDefault="00183434" w:rsidP="00183434">
            <w:pPr>
              <w:jc w:val="both"/>
              <w:rPr>
                <w:rFonts w:cs="Arial"/>
                <w:sz w:val="23"/>
                <w:szCs w:val="23"/>
              </w:rPr>
            </w:pPr>
            <w:r w:rsidRPr="00183434">
              <w:rPr>
                <w:rFonts w:cs="Arial"/>
                <w:sz w:val="23"/>
                <w:szCs w:val="23"/>
              </w:rPr>
              <w:t>2,323</w:t>
            </w:r>
          </w:p>
        </w:tc>
        <w:tc>
          <w:tcPr>
            <w:tcW w:w="1403" w:type="dxa"/>
            <w:tcBorders>
              <w:top w:val="nil"/>
              <w:left w:val="nil"/>
              <w:bottom w:val="nil"/>
              <w:right w:val="single" w:sz="4" w:space="0" w:color="auto"/>
            </w:tcBorders>
            <w:shd w:val="clear" w:color="auto" w:fill="F2F2F2" w:themeFill="background1" w:themeFillShade="F2"/>
            <w:vAlign w:val="center"/>
            <w:hideMark/>
          </w:tcPr>
          <w:p w14:paraId="0DEF1C3F" w14:textId="77777777" w:rsidR="00183434" w:rsidRPr="00183434" w:rsidRDefault="00183434" w:rsidP="00183434">
            <w:pPr>
              <w:jc w:val="both"/>
              <w:rPr>
                <w:rFonts w:cs="Arial"/>
                <w:sz w:val="23"/>
                <w:szCs w:val="23"/>
              </w:rPr>
            </w:pPr>
            <w:r w:rsidRPr="00183434">
              <w:rPr>
                <w:rFonts w:cs="Arial"/>
                <w:sz w:val="23"/>
                <w:szCs w:val="23"/>
              </w:rPr>
              <w:t>-247</w:t>
            </w:r>
          </w:p>
        </w:tc>
      </w:tr>
      <w:tr w:rsidR="00183434" w:rsidRPr="00183434" w14:paraId="265AE39D"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1A5C5523" w14:textId="77777777" w:rsidR="00183434" w:rsidRPr="00183434" w:rsidRDefault="00183434" w:rsidP="00183434">
            <w:pPr>
              <w:jc w:val="both"/>
              <w:rPr>
                <w:rFonts w:cs="Arial"/>
                <w:color w:val="000000"/>
                <w:sz w:val="23"/>
                <w:szCs w:val="23"/>
              </w:rPr>
            </w:pPr>
            <w:r w:rsidRPr="00183434">
              <w:rPr>
                <w:rFonts w:cs="Arial"/>
                <w:color w:val="000000"/>
                <w:sz w:val="23"/>
                <w:szCs w:val="23"/>
              </w:rPr>
              <w:t xml:space="preserve">Strategic Health and Safety/ Risk </w:t>
            </w:r>
          </w:p>
        </w:tc>
        <w:tc>
          <w:tcPr>
            <w:tcW w:w="1419" w:type="dxa"/>
            <w:tcBorders>
              <w:top w:val="nil"/>
              <w:left w:val="nil"/>
              <w:bottom w:val="nil"/>
              <w:right w:val="nil"/>
            </w:tcBorders>
            <w:shd w:val="clear" w:color="000000" w:fill="FFFFFF"/>
            <w:vAlign w:val="center"/>
            <w:hideMark/>
          </w:tcPr>
          <w:p w14:paraId="633AE4F2" w14:textId="77777777" w:rsidR="00183434" w:rsidRPr="00183434" w:rsidRDefault="00183434" w:rsidP="00183434">
            <w:pPr>
              <w:jc w:val="both"/>
              <w:rPr>
                <w:rFonts w:cs="Arial"/>
                <w:sz w:val="23"/>
                <w:szCs w:val="23"/>
              </w:rPr>
            </w:pPr>
            <w:r w:rsidRPr="00183434">
              <w:rPr>
                <w:rFonts w:cs="Arial"/>
                <w:sz w:val="23"/>
                <w:szCs w:val="23"/>
              </w:rPr>
              <w:t>225</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656E11D2" w14:textId="77777777" w:rsidR="00183434" w:rsidRPr="00183434" w:rsidRDefault="00183434" w:rsidP="00183434">
            <w:pPr>
              <w:jc w:val="both"/>
              <w:rPr>
                <w:rFonts w:cs="Arial"/>
                <w:sz w:val="23"/>
                <w:szCs w:val="23"/>
              </w:rPr>
            </w:pPr>
            <w:r w:rsidRPr="00183434">
              <w:rPr>
                <w:rFonts w:cs="Arial"/>
                <w:sz w:val="23"/>
                <w:szCs w:val="23"/>
              </w:rPr>
              <w:t>146</w:t>
            </w:r>
          </w:p>
        </w:tc>
        <w:tc>
          <w:tcPr>
            <w:tcW w:w="1403" w:type="dxa"/>
            <w:tcBorders>
              <w:top w:val="nil"/>
              <w:left w:val="nil"/>
              <w:bottom w:val="nil"/>
              <w:right w:val="single" w:sz="4" w:space="0" w:color="auto"/>
            </w:tcBorders>
            <w:shd w:val="clear" w:color="auto" w:fill="F2F2F2" w:themeFill="background1" w:themeFillShade="F2"/>
            <w:vAlign w:val="center"/>
            <w:hideMark/>
          </w:tcPr>
          <w:p w14:paraId="4AAE936F" w14:textId="77777777" w:rsidR="00183434" w:rsidRPr="00183434" w:rsidRDefault="00183434" w:rsidP="00183434">
            <w:pPr>
              <w:jc w:val="both"/>
              <w:rPr>
                <w:rFonts w:cs="Arial"/>
                <w:sz w:val="23"/>
                <w:szCs w:val="23"/>
              </w:rPr>
            </w:pPr>
            <w:r w:rsidRPr="00183434">
              <w:rPr>
                <w:rFonts w:cs="Arial"/>
                <w:sz w:val="23"/>
                <w:szCs w:val="23"/>
              </w:rPr>
              <w:t>-78</w:t>
            </w:r>
          </w:p>
        </w:tc>
      </w:tr>
      <w:tr w:rsidR="00183434" w:rsidRPr="00183434" w14:paraId="614A6C11"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07DAD328" w14:textId="77777777" w:rsidR="00183434" w:rsidRPr="00183434" w:rsidRDefault="00183434" w:rsidP="00183434">
            <w:pPr>
              <w:jc w:val="both"/>
              <w:rPr>
                <w:rFonts w:cs="Arial"/>
                <w:color w:val="000000"/>
                <w:sz w:val="23"/>
                <w:szCs w:val="23"/>
              </w:rPr>
            </w:pPr>
            <w:r w:rsidRPr="00183434">
              <w:rPr>
                <w:rFonts w:cs="Arial"/>
                <w:color w:val="000000"/>
                <w:sz w:val="23"/>
                <w:szCs w:val="23"/>
              </w:rPr>
              <w:t>Digital and Technology</w:t>
            </w:r>
          </w:p>
        </w:tc>
        <w:tc>
          <w:tcPr>
            <w:tcW w:w="1419" w:type="dxa"/>
            <w:tcBorders>
              <w:top w:val="nil"/>
              <w:left w:val="nil"/>
              <w:bottom w:val="nil"/>
              <w:right w:val="nil"/>
            </w:tcBorders>
            <w:shd w:val="clear" w:color="000000" w:fill="FFFFFF"/>
            <w:vAlign w:val="center"/>
            <w:hideMark/>
          </w:tcPr>
          <w:p w14:paraId="70E36631" w14:textId="77777777" w:rsidR="00183434" w:rsidRPr="00183434" w:rsidRDefault="00183434" w:rsidP="00183434">
            <w:pPr>
              <w:jc w:val="both"/>
              <w:rPr>
                <w:rFonts w:cs="Arial"/>
                <w:sz w:val="23"/>
                <w:szCs w:val="23"/>
              </w:rPr>
            </w:pPr>
            <w:r w:rsidRPr="00183434">
              <w:rPr>
                <w:rFonts w:cs="Arial"/>
                <w:sz w:val="23"/>
                <w:szCs w:val="23"/>
              </w:rPr>
              <w:t>2,934</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5ED45CA3" w14:textId="77777777" w:rsidR="00183434" w:rsidRPr="00183434" w:rsidRDefault="00183434" w:rsidP="00183434">
            <w:pPr>
              <w:jc w:val="both"/>
              <w:rPr>
                <w:rFonts w:cs="Arial"/>
                <w:sz w:val="23"/>
                <w:szCs w:val="23"/>
              </w:rPr>
            </w:pPr>
            <w:r w:rsidRPr="00183434">
              <w:rPr>
                <w:rFonts w:cs="Arial"/>
                <w:sz w:val="23"/>
                <w:szCs w:val="23"/>
              </w:rPr>
              <w:t>2,736</w:t>
            </w:r>
          </w:p>
        </w:tc>
        <w:tc>
          <w:tcPr>
            <w:tcW w:w="1403" w:type="dxa"/>
            <w:tcBorders>
              <w:top w:val="nil"/>
              <w:left w:val="nil"/>
              <w:bottom w:val="nil"/>
              <w:right w:val="single" w:sz="4" w:space="0" w:color="auto"/>
            </w:tcBorders>
            <w:shd w:val="clear" w:color="auto" w:fill="F2F2F2" w:themeFill="background1" w:themeFillShade="F2"/>
            <w:vAlign w:val="center"/>
            <w:hideMark/>
          </w:tcPr>
          <w:p w14:paraId="13F2B65B" w14:textId="77777777" w:rsidR="00183434" w:rsidRPr="00183434" w:rsidRDefault="00183434" w:rsidP="00183434">
            <w:pPr>
              <w:jc w:val="both"/>
              <w:rPr>
                <w:rFonts w:cs="Arial"/>
                <w:sz w:val="23"/>
                <w:szCs w:val="23"/>
              </w:rPr>
            </w:pPr>
            <w:r w:rsidRPr="00183434">
              <w:rPr>
                <w:rFonts w:cs="Arial"/>
                <w:sz w:val="23"/>
                <w:szCs w:val="23"/>
              </w:rPr>
              <w:t>-199</w:t>
            </w:r>
          </w:p>
        </w:tc>
      </w:tr>
      <w:tr w:rsidR="00183434" w:rsidRPr="00183434" w14:paraId="25D8EB90"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7F20AC0D" w14:textId="77777777" w:rsidR="00183434" w:rsidRPr="00183434" w:rsidRDefault="00183434" w:rsidP="00183434">
            <w:pPr>
              <w:jc w:val="both"/>
              <w:rPr>
                <w:rFonts w:cs="Arial"/>
                <w:sz w:val="23"/>
                <w:szCs w:val="23"/>
              </w:rPr>
            </w:pPr>
            <w:r w:rsidRPr="00183434">
              <w:rPr>
                <w:rFonts w:cs="Arial"/>
                <w:sz w:val="23"/>
                <w:szCs w:val="23"/>
              </w:rPr>
              <w:t xml:space="preserve">Careline </w:t>
            </w:r>
          </w:p>
        </w:tc>
        <w:tc>
          <w:tcPr>
            <w:tcW w:w="1419" w:type="dxa"/>
            <w:tcBorders>
              <w:top w:val="nil"/>
              <w:left w:val="nil"/>
              <w:bottom w:val="nil"/>
              <w:right w:val="nil"/>
            </w:tcBorders>
            <w:shd w:val="clear" w:color="000000" w:fill="FFFFFF"/>
            <w:vAlign w:val="center"/>
            <w:hideMark/>
          </w:tcPr>
          <w:p w14:paraId="237573CC" w14:textId="77777777" w:rsidR="00183434" w:rsidRPr="00183434" w:rsidRDefault="00183434" w:rsidP="00183434">
            <w:pPr>
              <w:jc w:val="both"/>
              <w:rPr>
                <w:rFonts w:cs="Arial"/>
                <w:sz w:val="23"/>
                <w:szCs w:val="23"/>
              </w:rPr>
            </w:pPr>
            <w:r w:rsidRPr="00183434">
              <w:rPr>
                <w:rFonts w:cs="Arial"/>
                <w:sz w:val="23"/>
                <w:szCs w:val="23"/>
              </w:rPr>
              <w:t>-10</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6BE8235C" w14:textId="77777777" w:rsidR="00183434" w:rsidRPr="00183434" w:rsidRDefault="00183434" w:rsidP="00183434">
            <w:pPr>
              <w:jc w:val="both"/>
              <w:rPr>
                <w:rFonts w:cs="Arial"/>
                <w:sz w:val="23"/>
                <w:szCs w:val="23"/>
              </w:rPr>
            </w:pPr>
            <w:r w:rsidRPr="00183434">
              <w:rPr>
                <w:rFonts w:cs="Arial"/>
                <w:sz w:val="23"/>
                <w:szCs w:val="23"/>
              </w:rPr>
              <w:t>328</w:t>
            </w:r>
          </w:p>
        </w:tc>
        <w:tc>
          <w:tcPr>
            <w:tcW w:w="1403" w:type="dxa"/>
            <w:tcBorders>
              <w:top w:val="nil"/>
              <w:left w:val="nil"/>
              <w:bottom w:val="nil"/>
              <w:right w:val="single" w:sz="4" w:space="0" w:color="auto"/>
            </w:tcBorders>
            <w:shd w:val="clear" w:color="auto" w:fill="F2F2F2" w:themeFill="background1" w:themeFillShade="F2"/>
            <w:vAlign w:val="center"/>
            <w:hideMark/>
          </w:tcPr>
          <w:p w14:paraId="43A180D9" w14:textId="77777777" w:rsidR="00183434" w:rsidRPr="00183434" w:rsidRDefault="00183434" w:rsidP="00183434">
            <w:pPr>
              <w:jc w:val="both"/>
              <w:rPr>
                <w:rFonts w:cs="Arial"/>
                <w:sz w:val="23"/>
                <w:szCs w:val="23"/>
              </w:rPr>
            </w:pPr>
            <w:r w:rsidRPr="00183434">
              <w:rPr>
                <w:rFonts w:cs="Arial"/>
                <w:sz w:val="23"/>
                <w:szCs w:val="23"/>
              </w:rPr>
              <w:t>339</w:t>
            </w:r>
          </w:p>
        </w:tc>
      </w:tr>
      <w:tr w:rsidR="00183434" w:rsidRPr="00183434" w14:paraId="54455E25" w14:textId="77777777" w:rsidTr="00216B4A">
        <w:trPr>
          <w:trHeight w:val="284"/>
        </w:trPr>
        <w:tc>
          <w:tcPr>
            <w:tcW w:w="52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D1A7EA"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Digital, Customer and HR</w:t>
            </w:r>
          </w:p>
        </w:tc>
        <w:tc>
          <w:tcPr>
            <w:tcW w:w="141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23831D" w14:textId="77777777" w:rsidR="00183434" w:rsidRPr="00183434" w:rsidRDefault="00183434" w:rsidP="00183434">
            <w:pPr>
              <w:jc w:val="both"/>
              <w:rPr>
                <w:rFonts w:cs="Arial"/>
                <w:b/>
                <w:bCs/>
                <w:sz w:val="23"/>
                <w:szCs w:val="23"/>
              </w:rPr>
            </w:pPr>
            <w:r w:rsidRPr="00183434">
              <w:rPr>
                <w:rFonts w:cs="Arial"/>
                <w:b/>
                <w:bCs/>
                <w:sz w:val="23"/>
                <w:szCs w:val="23"/>
              </w:rPr>
              <w:t>5,719</w:t>
            </w:r>
          </w:p>
        </w:tc>
        <w:tc>
          <w:tcPr>
            <w:tcW w:w="14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69D7D6" w14:textId="77777777" w:rsidR="00183434" w:rsidRPr="00183434" w:rsidRDefault="00183434" w:rsidP="00183434">
            <w:pPr>
              <w:jc w:val="both"/>
              <w:rPr>
                <w:rFonts w:cs="Arial"/>
                <w:b/>
                <w:bCs/>
                <w:sz w:val="23"/>
                <w:szCs w:val="23"/>
              </w:rPr>
            </w:pPr>
            <w:r w:rsidRPr="00183434">
              <w:rPr>
                <w:rFonts w:cs="Arial"/>
                <w:b/>
                <w:bCs/>
                <w:sz w:val="23"/>
                <w:szCs w:val="23"/>
              </w:rPr>
              <w:t>5,533</w:t>
            </w:r>
          </w:p>
        </w:tc>
        <w:tc>
          <w:tcPr>
            <w:tcW w:w="14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8A0097" w14:textId="77777777" w:rsidR="00183434" w:rsidRPr="00183434" w:rsidRDefault="00183434" w:rsidP="00183434">
            <w:pPr>
              <w:jc w:val="both"/>
              <w:rPr>
                <w:rFonts w:cs="Arial"/>
                <w:b/>
                <w:bCs/>
                <w:sz w:val="23"/>
                <w:szCs w:val="23"/>
              </w:rPr>
            </w:pPr>
            <w:r w:rsidRPr="00183434">
              <w:rPr>
                <w:rFonts w:cs="Arial"/>
                <w:b/>
                <w:bCs/>
                <w:sz w:val="23"/>
                <w:szCs w:val="23"/>
              </w:rPr>
              <w:t>-185</w:t>
            </w:r>
          </w:p>
        </w:tc>
      </w:tr>
      <w:tr w:rsidR="00183434" w:rsidRPr="00183434" w14:paraId="3E93B071" w14:textId="77777777" w:rsidTr="00216B4A">
        <w:trPr>
          <w:trHeight w:val="284"/>
        </w:trPr>
        <w:tc>
          <w:tcPr>
            <w:tcW w:w="5290" w:type="dxa"/>
            <w:tcBorders>
              <w:top w:val="nil"/>
              <w:left w:val="single" w:sz="4" w:space="0" w:color="auto"/>
              <w:bottom w:val="single" w:sz="4" w:space="0" w:color="auto"/>
              <w:right w:val="single" w:sz="4" w:space="0" w:color="auto"/>
            </w:tcBorders>
            <w:shd w:val="clear" w:color="000000" w:fill="F2F2F2"/>
            <w:noWrap/>
            <w:vAlign w:val="center"/>
            <w:hideMark/>
          </w:tcPr>
          <w:p w14:paraId="0439A19D"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 xml:space="preserve">Housing </w:t>
            </w:r>
          </w:p>
        </w:tc>
        <w:tc>
          <w:tcPr>
            <w:tcW w:w="1419" w:type="dxa"/>
            <w:tcBorders>
              <w:top w:val="nil"/>
              <w:left w:val="single" w:sz="4" w:space="0" w:color="auto"/>
              <w:bottom w:val="single" w:sz="4" w:space="0" w:color="auto"/>
              <w:right w:val="nil"/>
            </w:tcBorders>
            <w:shd w:val="clear" w:color="000000" w:fill="F2F2F2"/>
            <w:vAlign w:val="center"/>
            <w:hideMark/>
          </w:tcPr>
          <w:p w14:paraId="31F9B44A" w14:textId="77777777" w:rsidR="00183434" w:rsidRPr="00183434" w:rsidRDefault="00183434" w:rsidP="00183434">
            <w:pPr>
              <w:jc w:val="both"/>
              <w:rPr>
                <w:rFonts w:cs="Arial"/>
                <w:b/>
                <w:bCs/>
                <w:sz w:val="23"/>
                <w:szCs w:val="23"/>
              </w:rPr>
            </w:pPr>
            <w:r w:rsidRPr="00183434">
              <w:rPr>
                <w:rFonts w:cs="Arial"/>
                <w:b/>
                <w:bCs/>
                <w:sz w:val="23"/>
                <w:szCs w:val="23"/>
              </w:rPr>
              <w:t>-729</w:t>
            </w:r>
          </w:p>
        </w:tc>
        <w:tc>
          <w:tcPr>
            <w:tcW w:w="14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8653D2" w14:textId="77777777" w:rsidR="00183434" w:rsidRPr="00183434" w:rsidRDefault="00183434" w:rsidP="00183434">
            <w:pPr>
              <w:jc w:val="both"/>
              <w:rPr>
                <w:rFonts w:cs="Arial"/>
                <w:b/>
                <w:bCs/>
                <w:sz w:val="23"/>
                <w:szCs w:val="23"/>
              </w:rPr>
            </w:pPr>
            <w:r w:rsidRPr="00183434">
              <w:rPr>
                <w:rFonts w:cs="Arial"/>
                <w:b/>
                <w:bCs/>
                <w:sz w:val="23"/>
                <w:szCs w:val="23"/>
              </w:rPr>
              <w:t>-747</w:t>
            </w:r>
          </w:p>
        </w:tc>
        <w:tc>
          <w:tcPr>
            <w:tcW w:w="1403" w:type="dxa"/>
            <w:tcBorders>
              <w:top w:val="nil"/>
              <w:left w:val="nil"/>
              <w:bottom w:val="single" w:sz="4" w:space="0" w:color="auto"/>
              <w:right w:val="single" w:sz="4" w:space="0" w:color="auto"/>
            </w:tcBorders>
            <w:shd w:val="clear" w:color="auto" w:fill="D9D9D9" w:themeFill="background1" w:themeFillShade="D9"/>
            <w:vAlign w:val="center"/>
            <w:hideMark/>
          </w:tcPr>
          <w:p w14:paraId="634A906E" w14:textId="77777777" w:rsidR="00183434" w:rsidRPr="00183434" w:rsidRDefault="00183434" w:rsidP="00183434">
            <w:pPr>
              <w:jc w:val="both"/>
              <w:rPr>
                <w:rFonts w:cs="Arial"/>
                <w:b/>
                <w:bCs/>
                <w:sz w:val="23"/>
                <w:szCs w:val="23"/>
              </w:rPr>
            </w:pPr>
            <w:r w:rsidRPr="00183434">
              <w:rPr>
                <w:rFonts w:cs="Arial"/>
                <w:b/>
                <w:bCs/>
                <w:sz w:val="23"/>
                <w:szCs w:val="23"/>
              </w:rPr>
              <w:t>-18</w:t>
            </w:r>
          </w:p>
        </w:tc>
      </w:tr>
      <w:tr w:rsidR="00183434" w:rsidRPr="00183434" w14:paraId="20DE1C82"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42E4A8C8" w14:textId="77777777" w:rsidR="00183434" w:rsidRPr="00183434" w:rsidRDefault="00183434" w:rsidP="00183434">
            <w:pPr>
              <w:jc w:val="both"/>
              <w:rPr>
                <w:rFonts w:cs="Arial"/>
                <w:color w:val="000000"/>
                <w:sz w:val="23"/>
                <w:szCs w:val="23"/>
              </w:rPr>
            </w:pPr>
            <w:r w:rsidRPr="00183434">
              <w:rPr>
                <w:rFonts w:cs="Arial"/>
                <w:color w:val="000000"/>
                <w:sz w:val="23"/>
                <w:szCs w:val="23"/>
              </w:rPr>
              <w:t>Environmental &amp; Street Scene services</w:t>
            </w:r>
          </w:p>
        </w:tc>
        <w:tc>
          <w:tcPr>
            <w:tcW w:w="1419" w:type="dxa"/>
            <w:tcBorders>
              <w:top w:val="nil"/>
              <w:left w:val="single" w:sz="4" w:space="0" w:color="auto"/>
              <w:bottom w:val="nil"/>
              <w:right w:val="nil"/>
            </w:tcBorders>
            <w:shd w:val="clear" w:color="000000" w:fill="FFFFFF"/>
            <w:vAlign w:val="center"/>
            <w:hideMark/>
          </w:tcPr>
          <w:p w14:paraId="592BD04E" w14:textId="77777777" w:rsidR="00183434" w:rsidRPr="00183434" w:rsidRDefault="00183434" w:rsidP="00183434">
            <w:pPr>
              <w:jc w:val="both"/>
              <w:rPr>
                <w:rFonts w:cs="Arial"/>
                <w:sz w:val="23"/>
                <w:szCs w:val="23"/>
              </w:rPr>
            </w:pPr>
            <w:r w:rsidRPr="00183434">
              <w:rPr>
                <w:rFonts w:cs="Arial"/>
                <w:sz w:val="23"/>
                <w:szCs w:val="23"/>
              </w:rPr>
              <w:t>5,538</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00E31D67" w14:textId="77777777" w:rsidR="00183434" w:rsidRPr="00183434" w:rsidRDefault="00183434" w:rsidP="00183434">
            <w:pPr>
              <w:jc w:val="both"/>
              <w:rPr>
                <w:rFonts w:cs="Arial"/>
                <w:sz w:val="23"/>
                <w:szCs w:val="23"/>
              </w:rPr>
            </w:pPr>
            <w:r w:rsidRPr="00183434">
              <w:rPr>
                <w:rFonts w:cs="Arial"/>
                <w:sz w:val="23"/>
                <w:szCs w:val="23"/>
              </w:rPr>
              <w:t>5,398</w:t>
            </w:r>
          </w:p>
        </w:tc>
        <w:tc>
          <w:tcPr>
            <w:tcW w:w="1403" w:type="dxa"/>
            <w:tcBorders>
              <w:top w:val="nil"/>
              <w:left w:val="nil"/>
              <w:bottom w:val="nil"/>
              <w:right w:val="single" w:sz="4" w:space="0" w:color="auto"/>
            </w:tcBorders>
            <w:shd w:val="clear" w:color="auto" w:fill="F2F2F2" w:themeFill="background1" w:themeFillShade="F2"/>
            <w:vAlign w:val="center"/>
            <w:hideMark/>
          </w:tcPr>
          <w:p w14:paraId="23EB9C76" w14:textId="77777777" w:rsidR="00183434" w:rsidRPr="00183434" w:rsidRDefault="00183434" w:rsidP="00183434">
            <w:pPr>
              <w:jc w:val="both"/>
              <w:rPr>
                <w:rFonts w:cs="Arial"/>
                <w:sz w:val="23"/>
                <w:szCs w:val="23"/>
              </w:rPr>
            </w:pPr>
            <w:r w:rsidRPr="00183434">
              <w:rPr>
                <w:rFonts w:cs="Arial"/>
                <w:sz w:val="23"/>
                <w:szCs w:val="23"/>
              </w:rPr>
              <w:t>-140</w:t>
            </w:r>
          </w:p>
        </w:tc>
      </w:tr>
      <w:tr w:rsidR="00183434" w:rsidRPr="00183434" w14:paraId="623CB4D0"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03F86AB4" w14:textId="77777777" w:rsidR="00183434" w:rsidRPr="00183434" w:rsidRDefault="00183434" w:rsidP="00183434">
            <w:pPr>
              <w:jc w:val="both"/>
              <w:rPr>
                <w:rFonts w:cs="Arial"/>
                <w:color w:val="000000"/>
                <w:sz w:val="23"/>
                <w:szCs w:val="23"/>
              </w:rPr>
            </w:pPr>
            <w:r w:rsidRPr="00183434">
              <w:rPr>
                <w:rFonts w:cs="Arial"/>
                <w:color w:val="000000"/>
                <w:sz w:val="23"/>
                <w:szCs w:val="23"/>
              </w:rPr>
              <w:t xml:space="preserve">Leisure Services </w:t>
            </w:r>
          </w:p>
        </w:tc>
        <w:tc>
          <w:tcPr>
            <w:tcW w:w="1419" w:type="dxa"/>
            <w:tcBorders>
              <w:top w:val="nil"/>
              <w:left w:val="single" w:sz="4" w:space="0" w:color="auto"/>
              <w:bottom w:val="nil"/>
              <w:right w:val="nil"/>
            </w:tcBorders>
            <w:shd w:val="clear" w:color="000000" w:fill="FFFFFF"/>
            <w:vAlign w:val="center"/>
            <w:hideMark/>
          </w:tcPr>
          <w:p w14:paraId="6C223173" w14:textId="77777777" w:rsidR="00183434" w:rsidRPr="00183434" w:rsidRDefault="00183434" w:rsidP="00183434">
            <w:pPr>
              <w:jc w:val="both"/>
              <w:rPr>
                <w:rFonts w:cs="Arial"/>
                <w:sz w:val="23"/>
                <w:szCs w:val="23"/>
              </w:rPr>
            </w:pPr>
            <w:r w:rsidRPr="00183434">
              <w:rPr>
                <w:rFonts w:cs="Arial"/>
                <w:sz w:val="23"/>
                <w:szCs w:val="23"/>
              </w:rPr>
              <w:t>-421</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76CFF7DB" w14:textId="77777777" w:rsidR="00183434" w:rsidRPr="00183434" w:rsidRDefault="00183434" w:rsidP="00183434">
            <w:pPr>
              <w:jc w:val="both"/>
              <w:rPr>
                <w:rFonts w:cs="Arial"/>
                <w:sz w:val="23"/>
                <w:szCs w:val="23"/>
              </w:rPr>
            </w:pPr>
            <w:r w:rsidRPr="00183434">
              <w:rPr>
                <w:rFonts w:cs="Arial"/>
                <w:sz w:val="23"/>
                <w:szCs w:val="23"/>
              </w:rPr>
              <w:t>-448</w:t>
            </w:r>
          </w:p>
        </w:tc>
        <w:tc>
          <w:tcPr>
            <w:tcW w:w="1403" w:type="dxa"/>
            <w:tcBorders>
              <w:top w:val="nil"/>
              <w:left w:val="nil"/>
              <w:bottom w:val="nil"/>
              <w:right w:val="single" w:sz="4" w:space="0" w:color="auto"/>
            </w:tcBorders>
            <w:shd w:val="clear" w:color="auto" w:fill="F2F2F2" w:themeFill="background1" w:themeFillShade="F2"/>
            <w:vAlign w:val="center"/>
            <w:hideMark/>
          </w:tcPr>
          <w:p w14:paraId="23648485" w14:textId="77777777" w:rsidR="00183434" w:rsidRPr="00183434" w:rsidRDefault="00183434" w:rsidP="00183434">
            <w:pPr>
              <w:jc w:val="both"/>
              <w:rPr>
                <w:rFonts w:cs="Arial"/>
                <w:sz w:val="23"/>
                <w:szCs w:val="23"/>
              </w:rPr>
            </w:pPr>
            <w:r w:rsidRPr="00183434">
              <w:rPr>
                <w:rFonts w:cs="Arial"/>
                <w:sz w:val="23"/>
                <w:szCs w:val="23"/>
              </w:rPr>
              <w:t>-26</w:t>
            </w:r>
          </w:p>
        </w:tc>
      </w:tr>
      <w:tr w:rsidR="00183434" w:rsidRPr="00183434" w14:paraId="3DCDE935"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4DF168E0" w14:textId="77777777" w:rsidR="00183434" w:rsidRPr="00183434" w:rsidRDefault="00183434" w:rsidP="00183434">
            <w:pPr>
              <w:jc w:val="both"/>
              <w:rPr>
                <w:rFonts w:cs="Arial"/>
                <w:color w:val="000000"/>
                <w:sz w:val="23"/>
                <w:szCs w:val="23"/>
              </w:rPr>
            </w:pPr>
            <w:r w:rsidRPr="00183434">
              <w:rPr>
                <w:rFonts w:cs="Arial"/>
                <w:color w:val="000000"/>
                <w:sz w:val="23"/>
                <w:szCs w:val="23"/>
              </w:rPr>
              <w:t>Cultural Services</w:t>
            </w:r>
          </w:p>
        </w:tc>
        <w:tc>
          <w:tcPr>
            <w:tcW w:w="1419" w:type="dxa"/>
            <w:tcBorders>
              <w:top w:val="nil"/>
              <w:left w:val="single" w:sz="4" w:space="0" w:color="auto"/>
              <w:bottom w:val="nil"/>
              <w:right w:val="nil"/>
            </w:tcBorders>
            <w:shd w:val="clear" w:color="000000" w:fill="FFFFFF"/>
            <w:vAlign w:val="center"/>
            <w:hideMark/>
          </w:tcPr>
          <w:p w14:paraId="415146FF" w14:textId="77777777" w:rsidR="00183434" w:rsidRPr="00183434" w:rsidRDefault="00183434" w:rsidP="00183434">
            <w:pPr>
              <w:jc w:val="both"/>
              <w:rPr>
                <w:rFonts w:cs="Arial"/>
                <w:sz w:val="23"/>
                <w:szCs w:val="23"/>
              </w:rPr>
            </w:pPr>
            <w:r w:rsidRPr="00183434">
              <w:rPr>
                <w:rFonts w:cs="Arial"/>
                <w:sz w:val="23"/>
                <w:szCs w:val="23"/>
              </w:rPr>
              <w:t>421</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661D7482" w14:textId="77777777" w:rsidR="00183434" w:rsidRPr="00183434" w:rsidRDefault="00183434" w:rsidP="00183434">
            <w:pPr>
              <w:jc w:val="both"/>
              <w:rPr>
                <w:rFonts w:cs="Arial"/>
                <w:sz w:val="23"/>
                <w:szCs w:val="23"/>
              </w:rPr>
            </w:pPr>
            <w:r w:rsidRPr="00183434">
              <w:rPr>
                <w:rFonts w:cs="Arial"/>
                <w:sz w:val="23"/>
                <w:szCs w:val="23"/>
              </w:rPr>
              <w:t>554</w:t>
            </w:r>
          </w:p>
        </w:tc>
        <w:tc>
          <w:tcPr>
            <w:tcW w:w="1403" w:type="dxa"/>
            <w:tcBorders>
              <w:top w:val="nil"/>
              <w:left w:val="nil"/>
              <w:bottom w:val="nil"/>
              <w:right w:val="single" w:sz="4" w:space="0" w:color="auto"/>
            </w:tcBorders>
            <w:shd w:val="clear" w:color="auto" w:fill="F2F2F2" w:themeFill="background1" w:themeFillShade="F2"/>
            <w:vAlign w:val="center"/>
            <w:hideMark/>
          </w:tcPr>
          <w:p w14:paraId="130B9132" w14:textId="77777777" w:rsidR="00183434" w:rsidRPr="00183434" w:rsidRDefault="00183434" w:rsidP="00183434">
            <w:pPr>
              <w:jc w:val="both"/>
              <w:rPr>
                <w:rFonts w:cs="Arial"/>
                <w:sz w:val="23"/>
                <w:szCs w:val="23"/>
              </w:rPr>
            </w:pPr>
            <w:r w:rsidRPr="00183434">
              <w:rPr>
                <w:rFonts w:cs="Arial"/>
                <w:sz w:val="23"/>
                <w:szCs w:val="23"/>
              </w:rPr>
              <w:t>133</w:t>
            </w:r>
          </w:p>
        </w:tc>
      </w:tr>
      <w:tr w:rsidR="00183434" w:rsidRPr="00183434" w14:paraId="1C3E5CA5"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1F785904" w14:textId="77777777" w:rsidR="00183434" w:rsidRPr="00183434" w:rsidRDefault="00183434" w:rsidP="00183434">
            <w:pPr>
              <w:jc w:val="both"/>
              <w:rPr>
                <w:rFonts w:cs="Arial"/>
                <w:color w:val="000000"/>
                <w:sz w:val="23"/>
                <w:szCs w:val="23"/>
              </w:rPr>
            </w:pPr>
            <w:r w:rsidRPr="00183434">
              <w:rPr>
                <w:rFonts w:cs="Arial"/>
                <w:color w:val="000000"/>
                <w:sz w:val="23"/>
                <w:szCs w:val="23"/>
              </w:rPr>
              <w:t>Town Centre Operations</w:t>
            </w:r>
          </w:p>
        </w:tc>
        <w:tc>
          <w:tcPr>
            <w:tcW w:w="1419" w:type="dxa"/>
            <w:tcBorders>
              <w:top w:val="nil"/>
              <w:left w:val="single" w:sz="4" w:space="0" w:color="auto"/>
              <w:bottom w:val="nil"/>
              <w:right w:val="nil"/>
            </w:tcBorders>
            <w:shd w:val="clear" w:color="000000" w:fill="FFFFFF"/>
            <w:vAlign w:val="center"/>
            <w:hideMark/>
          </w:tcPr>
          <w:p w14:paraId="66FBC239" w14:textId="77777777" w:rsidR="00183434" w:rsidRPr="00183434" w:rsidRDefault="00183434" w:rsidP="00183434">
            <w:pPr>
              <w:jc w:val="both"/>
              <w:rPr>
                <w:rFonts w:cs="Arial"/>
                <w:sz w:val="23"/>
                <w:szCs w:val="23"/>
              </w:rPr>
            </w:pPr>
            <w:r w:rsidRPr="00183434">
              <w:rPr>
                <w:rFonts w:cs="Arial"/>
                <w:sz w:val="23"/>
                <w:szCs w:val="23"/>
              </w:rPr>
              <w:t>-1,224</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6356E164" w14:textId="77777777" w:rsidR="00183434" w:rsidRPr="00183434" w:rsidRDefault="00183434" w:rsidP="00183434">
            <w:pPr>
              <w:jc w:val="both"/>
              <w:rPr>
                <w:rFonts w:cs="Arial"/>
                <w:sz w:val="23"/>
                <w:szCs w:val="23"/>
              </w:rPr>
            </w:pPr>
            <w:r w:rsidRPr="00183434">
              <w:rPr>
                <w:rFonts w:cs="Arial"/>
                <w:sz w:val="23"/>
                <w:szCs w:val="23"/>
              </w:rPr>
              <w:t>-1,393</w:t>
            </w:r>
          </w:p>
        </w:tc>
        <w:tc>
          <w:tcPr>
            <w:tcW w:w="1403" w:type="dxa"/>
            <w:tcBorders>
              <w:top w:val="nil"/>
              <w:left w:val="nil"/>
              <w:bottom w:val="nil"/>
              <w:right w:val="single" w:sz="4" w:space="0" w:color="auto"/>
            </w:tcBorders>
            <w:shd w:val="clear" w:color="auto" w:fill="F2F2F2" w:themeFill="background1" w:themeFillShade="F2"/>
            <w:vAlign w:val="center"/>
            <w:hideMark/>
          </w:tcPr>
          <w:p w14:paraId="1711AD9F" w14:textId="77777777" w:rsidR="00183434" w:rsidRPr="00183434" w:rsidRDefault="00183434" w:rsidP="00183434">
            <w:pPr>
              <w:jc w:val="both"/>
              <w:rPr>
                <w:rFonts w:cs="Arial"/>
                <w:sz w:val="23"/>
                <w:szCs w:val="23"/>
              </w:rPr>
            </w:pPr>
            <w:r w:rsidRPr="00183434">
              <w:rPr>
                <w:rFonts w:cs="Arial"/>
                <w:sz w:val="23"/>
                <w:szCs w:val="23"/>
              </w:rPr>
              <w:t>-170</w:t>
            </w:r>
          </w:p>
        </w:tc>
      </w:tr>
      <w:tr w:rsidR="00183434" w:rsidRPr="00183434" w14:paraId="25114DF8"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hideMark/>
          </w:tcPr>
          <w:p w14:paraId="1F74DC0B" w14:textId="77777777" w:rsidR="00183434" w:rsidRPr="00183434" w:rsidRDefault="00183434" w:rsidP="00183434">
            <w:pPr>
              <w:jc w:val="both"/>
              <w:rPr>
                <w:rFonts w:cs="Arial"/>
                <w:color w:val="000000"/>
                <w:sz w:val="23"/>
                <w:szCs w:val="23"/>
              </w:rPr>
            </w:pPr>
            <w:r w:rsidRPr="00183434">
              <w:rPr>
                <w:rFonts w:cs="Arial"/>
                <w:color w:val="000000"/>
                <w:sz w:val="23"/>
                <w:szCs w:val="23"/>
              </w:rPr>
              <w:t>Other</w:t>
            </w:r>
          </w:p>
        </w:tc>
        <w:tc>
          <w:tcPr>
            <w:tcW w:w="1419" w:type="dxa"/>
            <w:tcBorders>
              <w:top w:val="nil"/>
              <w:left w:val="single" w:sz="4" w:space="0" w:color="auto"/>
              <w:bottom w:val="single" w:sz="4" w:space="0" w:color="auto"/>
              <w:right w:val="nil"/>
            </w:tcBorders>
            <w:shd w:val="clear" w:color="000000" w:fill="FFFFFF"/>
            <w:vAlign w:val="center"/>
            <w:hideMark/>
          </w:tcPr>
          <w:p w14:paraId="612A4B04" w14:textId="77777777" w:rsidR="00183434" w:rsidRPr="00183434" w:rsidRDefault="00183434" w:rsidP="00183434">
            <w:pPr>
              <w:jc w:val="both"/>
              <w:rPr>
                <w:rFonts w:cs="Arial"/>
                <w:sz w:val="23"/>
                <w:szCs w:val="23"/>
              </w:rPr>
            </w:pPr>
            <w:r w:rsidRPr="00183434">
              <w:rPr>
                <w:rFonts w:cs="Arial"/>
                <w:sz w:val="23"/>
                <w:szCs w:val="23"/>
              </w:rPr>
              <w:t>847</w:t>
            </w:r>
          </w:p>
        </w:tc>
        <w:tc>
          <w:tcPr>
            <w:tcW w:w="1419" w:type="dxa"/>
            <w:tcBorders>
              <w:top w:val="nil"/>
              <w:left w:val="single" w:sz="4" w:space="0" w:color="auto"/>
              <w:bottom w:val="nil"/>
              <w:right w:val="single" w:sz="4" w:space="0" w:color="auto"/>
            </w:tcBorders>
            <w:shd w:val="clear" w:color="auto" w:fill="FFFFFF" w:themeFill="background1"/>
            <w:vAlign w:val="center"/>
            <w:hideMark/>
          </w:tcPr>
          <w:p w14:paraId="2E8CBB0F" w14:textId="77777777" w:rsidR="00183434" w:rsidRPr="00183434" w:rsidRDefault="00183434" w:rsidP="00183434">
            <w:pPr>
              <w:jc w:val="both"/>
              <w:rPr>
                <w:rFonts w:cs="Arial"/>
                <w:sz w:val="23"/>
                <w:szCs w:val="23"/>
              </w:rPr>
            </w:pPr>
            <w:r w:rsidRPr="00183434">
              <w:rPr>
                <w:rFonts w:cs="Arial"/>
                <w:sz w:val="23"/>
                <w:szCs w:val="23"/>
              </w:rPr>
              <w:t>787</w:t>
            </w:r>
          </w:p>
        </w:tc>
        <w:tc>
          <w:tcPr>
            <w:tcW w:w="1403" w:type="dxa"/>
            <w:tcBorders>
              <w:top w:val="nil"/>
              <w:left w:val="nil"/>
              <w:bottom w:val="nil"/>
              <w:right w:val="single" w:sz="4" w:space="0" w:color="auto"/>
            </w:tcBorders>
            <w:shd w:val="clear" w:color="auto" w:fill="F2F2F2" w:themeFill="background1" w:themeFillShade="F2"/>
            <w:vAlign w:val="center"/>
            <w:hideMark/>
          </w:tcPr>
          <w:p w14:paraId="67F109C9" w14:textId="77777777" w:rsidR="00183434" w:rsidRPr="00183434" w:rsidRDefault="00183434" w:rsidP="00183434">
            <w:pPr>
              <w:jc w:val="both"/>
              <w:rPr>
                <w:rFonts w:cs="Arial"/>
                <w:sz w:val="23"/>
                <w:szCs w:val="23"/>
              </w:rPr>
            </w:pPr>
            <w:r w:rsidRPr="00183434">
              <w:rPr>
                <w:rFonts w:cs="Arial"/>
                <w:sz w:val="23"/>
                <w:szCs w:val="23"/>
              </w:rPr>
              <w:t>-60</w:t>
            </w:r>
          </w:p>
        </w:tc>
      </w:tr>
      <w:tr w:rsidR="00183434" w:rsidRPr="00183434" w14:paraId="0D29FA91" w14:textId="77777777" w:rsidTr="00216B4A">
        <w:trPr>
          <w:trHeight w:val="284"/>
        </w:trPr>
        <w:tc>
          <w:tcPr>
            <w:tcW w:w="52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E8F6CA"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 xml:space="preserve">Leisure, Culture and Community Wellbeing </w:t>
            </w:r>
          </w:p>
        </w:tc>
        <w:tc>
          <w:tcPr>
            <w:tcW w:w="141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50791A" w14:textId="77777777" w:rsidR="00183434" w:rsidRPr="00183434" w:rsidRDefault="00183434" w:rsidP="00183434">
            <w:pPr>
              <w:jc w:val="both"/>
              <w:rPr>
                <w:rFonts w:cs="Arial"/>
                <w:b/>
                <w:bCs/>
                <w:sz w:val="23"/>
                <w:szCs w:val="23"/>
              </w:rPr>
            </w:pPr>
            <w:r w:rsidRPr="00183434">
              <w:rPr>
                <w:rFonts w:cs="Arial"/>
                <w:b/>
                <w:bCs/>
                <w:sz w:val="23"/>
                <w:szCs w:val="23"/>
              </w:rPr>
              <w:t>5,162</w:t>
            </w:r>
          </w:p>
        </w:tc>
        <w:tc>
          <w:tcPr>
            <w:tcW w:w="14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42AC7F" w14:textId="77777777" w:rsidR="00183434" w:rsidRPr="00183434" w:rsidRDefault="00183434" w:rsidP="00183434">
            <w:pPr>
              <w:jc w:val="both"/>
              <w:rPr>
                <w:rFonts w:cs="Arial"/>
                <w:b/>
                <w:bCs/>
                <w:sz w:val="23"/>
                <w:szCs w:val="23"/>
              </w:rPr>
            </w:pPr>
            <w:r w:rsidRPr="00183434">
              <w:rPr>
                <w:rFonts w:cs="Arial"/>
                <w:b/>
                <w:bCs/>
                <w:sz w:val="23"/>
                <w:szCs w:val="23"/>
              </w:rPr>
              <w:t>4,898</w:t>
            </w:r>
          </w:p>
        </w:tc>
        <w:tc>
          <w:tcPr>
            <w:tcW w:w="14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E033A5" w14:textId="77777777" w:rsidR="00183434" w:rsidRPr="00183434" w:rsidRDefault="00183434" w:rsidP="00183434">
            <w:pPr>
              <w:jc w:val="both"/>
              <w:rPr>
                <w:rFonts w:cs="Arial"/>
                <w:b/>
                <w:bCs/>
                <w:sz w:val="23"/>
                <w:szCs w:val="23"/>
              </w:rPr>
            </w:pPr>
            <w:r w:rsidRPr="00183434">
              <w:rPr>
                <w:rFonts w:cs="Arial"/>
                <w:b/>
                <w:bCs/>
                <w:sz w:val="23"/>
                <w:szCs w:val="23"/>
              </w:rPr>
              <w:t>-264</w:t>
            </w:r>
          </w:p>
        </w:tc>
      </w:tr>
      <w:tr w:rsidR="00183434" w:rsidRPr="00183434" w14:paraId="592D3E64" w14:textId="77777777" w:rsidTr="00216B4A">
        <w:trPr>
          <w:trHeight w:val="284"/>
        </w:trPr>
        <w:tc>
          <w:tcPr>
            <w:tcW w:w="5290" w:type="dxa"/>
            <w:tcBorders>
              <w:top w:val="nil"/>
              <w:left w:val="single" w:sz="4" w:space="0" w:color="auto"/>
              <w:bottom w:val="single" w:sz="4" w:space="0" w:color="auto"/>
              <w:right w:val="nil"/>
            </w:tcBorders>
            <w:shd w:val="clear" w:color="000000" w:fill="D9D9D9"/>
            <w:noWrap/>
            <w:vAlign w:val="center"/>
            <w:hideMark/>
          </w:tcPr>
          <w:p w14:paraId="1E7E33F1"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Service Budgets</w:t>
            </w:r>
          </w:p>
        </w:tc>
        <w:tc>
          <w:tcPr>
            <w:tcW w:w="1419" w:type="dxa"/>
            <w:tcBorders>
              <w:top w:val="nil"/>
              <w:left w:val="single" w:sz="4" w:space="0" w:color="auto"/>
              <w:bottom w:val="single" w:sz="4" w:space="0" w:color="auto"/>
              <w:right w:val="single" w:sz="4" w:space="0" w:color="auto"/>
            </w:tcBorders>
            <w:shd w:val="clear" w:color="000000" w:fill="D9D9D9"/>
            <w:noWrap/>
            <w:vAlign w:val="center"/>
            <w:hideMark/>
          </w:tcPr>
          <w:p w14:paraId="6A9B5EEB" w14:textId="77777777" w:rsidR="00183434" w:rsidRPr="00183434" w:rsidRDefault="00183434" w:rsidP="00183434">
            <w:pPr>
              <w:jc w:val="both"/>
              <w:rPr>
                <w:rFonts w:cs="Arial"/>
                <w:b/>
                <w:bCs/>
                <w:sz w:val="23"/>
                <w:szCs w:val="23"/>
              </w:rPr>
            </w:pPr>
            <w:r w:rsidRPr="00183434">
              <w:rPr>
                <w:rFonts w:cs="Arial"/>
                <w:b/>
                <w:bCs/>
                <w:sz w:val="23"/>
                <w:szCs w:val="23"/>
              </w:rPr>
              <w:t>12,253</w:t>
            </w:r>
          </w:p>
        </w:tc>
        <w:tc>
          <w:tcPr>
            <w:tcW w:w="1419" w:type="dxa"/>
            <w:tcBorders>
              <w:top w:val="nil"/>
              <w:left w:val="nil"/>
              <w:bottom w:val="single" w:sz="4" w:space="0" w:color="auto"/>
              <w:right w:val="single" w:sz="4" w:space="0" w:color="auto"/>
            </w:tcBorders>
            <w:shd w:val="clear" w:color="auto" w:fill="D9D9D9" w:themeFill="background1" w:themeFillShade="D9"/>
            <w:noWrap/>
            <w:vAlign w:val="center"/>
            <w:hideMark/>
          </w:tcPr>
          <w:p w14:paraId="65954A51" w14:textId="77777777" w:rsidR="00183434" w:rsidRPr="00183434" w:rsidRDefault="00183434" w:rsidP="00183434">
            <w:pPr>
              <w:jc w:val="both"/>
              <w:rPr>
                <w:rFonts w:cs="Arial"/>
                <w:b/>
                <w:bCs/>
                <w:sz w:val="23"/>
                <w:szCs w:val="23"/>
              </w:rPr>
            </w:pPr>
            <w:r w:rsidRPr="00183434">
              <w:rPr>
                <w:rFonts w:cs="Arial"/>
                <w:b/>
                <w:bCs/>
                <w:sz w:val="23"/>
                <w:szCs w:val="23"/>
              </w:rPr>
              <w:t>11,531</w:t>
            </w:r>
          </w:p>
        </w:tc>
        <w:tc>
          <w:tcPr>
            <w:tcW w:w="1403" w:type="dxa"/>
            <w:tcBorders>
              <w:top w:val="nil"/>
              <w:left w:val="nil"/>
              <w:bottom w:val="single" w:sz="4" w:space="0" w:color="auto"/>
              <w:right w:val="single" w:sz="4" w:space="0" w:color="auto"/>
            </w:tcBorders>
            <w:shd w:val="clear" w:color="auto" w:fill="D9D9D9" w:themeFill="background1" w:themeFillShade="D9"/>
            <w:noWrap/>
            <w:vAlign w:val="center"/>
            <w:hideMark/>
          </w:tcPr>
          <w:p w14:paraId="2B50E350" w14:textId="77777777" w:rsidR="00183434" w:rsidRPr="00183434" w:rsidRDefault="00183434" w:rsidP="00183434">
            <w:pPr>
              <w:jc w:val="both"/>
              <w:rPr>
                <w:rFonts w:cs="Arial"/>
                <w:b/>
                <w:bCs/>
                <w:sz w:val="23"/>
                <w:szCs w:val="23"/>
              </w:rPr>
            </w:pPr>
            <w:r w:rsidRPr="00183434">
              <w:rPr>
                <w:rFonts w:cs="Arial"/>
                <w:b/>
                <w:bCs/>
                <w:sz w:val="23"/>
                <w:szCs w:val="23"/>
              </w:rPr>
              <w:t>-723</w:t>
            </w:r>
          </w:p>
        </w:tc>
      </w:tr>
      <w:tr w:rsidR="00183434" w:rsidRPr="00183434" w14:paraId="40D49E3A" w14:textId="77777777" w:rsidTr="00216B4A">
        <w:trPr>
          <w:trHeight w:val="284"/>
        </w:trPr>
        <w:tc>
          <w:tcPr>
            <w:tcW w:w="5290" w:type="dxa"/>
            <w:tcBorders>
              <w:top w:val="nil"/>
              <w:left w:val="single" w:sz="4" w:space="0" w:color="auto"/>
              <w:bottom w:val="nil"/>
              <w:right w:val="single" w:sz="4" w:space="0" w:color="auto"/>
            </w:tcBorders>
            <w:shd w:val="clear" w:color="000000" w:fill="FFFFFF"/>
            <w:noWrap/>
            <w:vAlign w:val="center"/>
          </w:tcPr>
          <w:p w14:paraId="37BF635C" w14:textId="77777777" w:rsidR="00183434" w:rsidRPr="00183434" w:rsidRDefault="00183434" w:rsidP="00183434">
            <w:pPr>
              <w:jc w:val="both"/>
              <w:rPr>
                <w:rFonts w:cs="Arial"/>
                <w:sz w:val="23"/>
                <w:szCs w:val="23"/>
              </w:rPr>
            </w:pPr>
            <w:r w:rsidRPr="00183434">
              <w:rPr>
                <w:rFonts w:cs="Arial"/>
                <w:sz w:val="23"/>
                <w:szCs w:val="23"/>
              </w:rPr>
              <w:t>Central &amp; Non-controllable Items / Funding</w:t>
            </w:r>
          </w:p>
        </w:tc>
        <w:tc>
          <w:tcPr>
            <w:tcW w:w="1419" w:type="dxa"/>
            <w:tcBorders>
              <w:top w:val="single" w:sz="4" w:space="0" w:color="auto"/>
              <w:left w:val="single" w:sz="4" w:space="0" w:color="auto"/>
              <w:right w:val="single" w:sz="4" w:space="0" w:color="auto"/>
            </w:tcBorders>
            <w:shd w:val="clear" w:color="000000" w:fill="FFFFFF"/>
            <w:noWrap/>
            <w:vAlign w:val="center"/>
          </w:tcPr>
          <w:p w14:paraId="4453A2E1" w14:textId="77777777" w:rsidR="00183434" w:rsidRPr="00183434" w:rsidRDefault="00183434" w:rsidP="00183434">
            <w:pPr>
              <w:jc w:val="both"/>
              <w:rPr>
                <w:rFonts w:cs="Arial"/>
                <w:sz w:val="23"/>
                <w:szCs w:val="23"/>
              </w:rPr>
            </w:pPr>
            <w:r w:rsidRPr="00183434">
              <w:rPr>
                <w:rFonts w:cs="Arial"/>
                <w:color w:val="000000"/>
                <w:sz w:val="23"/>
                <w:szCs w:val="23"/>
              </w:rPr>
              <w:t>-12,253</w:t>
            </w:r>
          </w:p>
        </w:tc>
        <w:tc>
          <w:tcPr>
            <w:tcW w:w="1419" w:type="dxa"/>
            <w:tcBorders>
              <w:top w:val="nil"/>
              <w:left w:val="nil"/>
              <w:bottom w:val="nil"/>
              <w:right w:val="single" w:sz="4" w:space="0" w:color="auto"/>
            </w:tcBorders>
            <w:shd w:val="clear" w:color="auto" w:fill="FFFFFF" w:themeFill="background1"/>
            <w:vAlign w:val="center"/>
          </w:tcPr>
          <w:p w14:paraId="579C5F23" w14:textId="77777777" w:rsidR="00183434" w:rsidRPr="00183434" w:rsidRDefault="00183434" w:rsidP="00183434">
            <w:pPr>
              <w:jc w:val="both"/>
              <w:rPr>
                <w:rFonts w:cs="Arial"/>
                <w:sz w:val="23"/>
                <w:szCs w:val="23"/>
              </w:rPr>
            </w:pPr>
            <w:r w:rsidRPr="00183434">
              <w:rPr>
                <w:rFonts w:cs="Arial"/>
                <w:color w:val="000000"/>
                <w:sz w:val="23"/>
                <w:szCs w:val="23"/>
              </w:rPr>
              <w:t>-12,792</w:t>
            </w:r>
          </w:p>
        </w:tc>
        <w:tc>
          <w:tcPr>
            <w:tcW w:w="1403" w:type="dxa"/>
            <w:tcBorders>
              <w:top w:val="nil"/>
              <w:left w:val="nil"/>
              <w:bottom w:val="nil"/>
              <w:right w:val="single" w:sz="4" w:space="0" w:color="auto"/>
            </w:tcBorders>
            <w:shd w:val="clear" w:color="auto" w:fill="F2F2F2" w:themeFill="background1" w:themeFillShade="F2"/>
            <w:vAlign w:val="center"/>
          </w:tcPr>
          <w:p w14:paraId="24FAB3E8" w14:textId="77777777" w:rsidR="00183434" w:rsidRPr="00183434" w:rsidRDefault="00183434" w:rsidP="00183434">
            <w:pPr>
              <w:jc w:val="both"/>
              <w:rPr>
                <w:rFonts w:cs="Arial"/>
                <w:sz w:val="23"/>
                <w:szCs w:val="23"/>
              </w:rPr>
            </w:pPr>
            <w:r w:rsidRPr="00183434">
              <w:rPr>
                <w:rFonts w:cs="Arial"/>
                <w:color w:val="000000"/>
                <w:sz w:val="23"/>
                <w:szCs w:val="23"/>
              </w:rPr>
              <w:t>-539</w:t>
            </w:r>
          </w:p>
        </w:tc>
      </w:tr>
      <w:tr w:rsidR="00183434" w:rsidRPr="00183434" w14:paraId="20CD8B50" w14:textId="77777777" w:rsidTr="00216B4A">
        <w:trPr>
          <w:trHeight w:val="284"/>
        </w:trPr>
        <w:tc>
          <w:tcPr>
            <w:tcW w:w="52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C6F3D5" w14:textId="77777777" w:rsidR="00183434" w:rsidRPr="00183434" w:rsidRDefault="00183434" w:rsidP="00183434">
            <w:pPr>
              <w:jc w:val="both"/>
              <w:rPr>
                <w:rFonts w:cs="Arial"/>
                <w:b/>
                <w:bCs/>
                <w:color w:val="000000"/>
                <w:sz w:val="23"/>
                <w:szCs w:val="23"/>
              </w:rPr>
            </w:pPr>
            <w:r w:rsidRPr="00183434">
              <w:rPr>
                <w:rFonts w:cs="Arial"/>
                <w:b/>
                <w:bCs/>
                <w:color w:val="000000"/>
                <w:sz w:val="23"/>
                <w:szCs w:val="23"/>
              </w:rPr>
              <w:t>Overall Position</w:t>
            </w:r>
          </w:p>
        </w:tc>
        <w:tc>
          <w:tcPr>
            <w:tcW w:w="14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850745" w14:textId="77777777" w:rsidR="00183434" w:rsidRPr="00183434" w:rsidRDefault="00183434" w:rsidP="00183434">
            <w:pPr>
              <w:jc w:val="both"/>
              <w:rPr>
                <w:rFonts w:cs="Arial"/>
                <w:b/>
                <w:bCs/>
                <w:sz w:val="23"/>
                <w:szCs w:val="23"/>
              </w:rPr>
            </w:pPr>
            <w:r w:rsidRPr="00183434">
              <w:rPr>
                <w:rFonts w:cs="Arial"/>
                <w:b/>
                <w:bCs/>
                <w:sz w:val="23"/>
                <w:szCs w:val="23"/>
              </w:rPr>
              <w:t>0</w:t>
            </w:r>
          </w:p>
        </w:tc>
        <w:tc>
          <w:tcPr>
            <w:tcW w:w="14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74DA8E" w14:textId="77777777" w:rsidR="00183434" w:rsidRPr="00183434" w:rsidRDefault="00183434" w:rsidP="00183434">
            <w:pPr>
              <w:jc w:val="both"/>
              <w:rPr>
                <w:rFonts w:cs="Arial"/>
                <w:b/>
                <w:bCs/>
                <w:sz w:val="23"/>
                <w:szCs w:val="23"/>
              </w:rPr>
            </w:pPr>
            <w:r w:rsidRPr="00183434">
              <w:rPr>
                <w:rFonts w:cs="Arial"/>
                <w:b/>
                <w:bCs/>
                <w:sz w:val="23"/>
                <w:szCs w:val="23"/>
              </w:rPr>
              <w:t>-1,261</w:t>
            </w:r>
          </w:p>
        </w:tc>
        <w:tc>
          <w:tcPr>
            <w:tcW w:w="14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1300F" w14:textId="77777777" w:rsidR="00183434" w:rsidRPr="00183434" w:rsidRDefault="00183434" w:rsidP="00183434">
            <w:pPr>
              <w:jc w:val="both"/>
              <w:rPr>
                <w:rFonts w:cs="Arial"/>
                <w:b/>
                <w:bCs/>
                <w:sz w:val="23"/>
                <w:szCs w:val="23"/>
              </w:rPr>
            </w:pPr>
            <w:r w:rsidRPr="00183434">
              <w:rPr>
                <w:rFonts w:cs="Arial"/>
                <w:b/>
                <w:bCs/>
                <w:sz w:val="23"/>
                <w:szCs w:val="23"/>
              </w:rPr>
              <w:t>-1,261</w:t>
            </w:r>
          </w:p>
        </w:tc>
      </w:tr>
    </w:tbl>
    <w:p w14:paraId="08664A11"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p>
    <w:p w14:paraId="57342506" w14:textId="77777777" w:rsidR="00183434" w:rsidRPr="00183434" w:rsidRDefault="00183434" w:rsidP="0018343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3"/>
          <w:szCs w:val="23"/>
        </w:rPr>
      </w:pPr>
    </w:p>
    <w:p w14:paraId="067D2F86" w14:textId="77777777" w:rsidR="00183434" w:rsidRPr="00183434" w:rsidRDefault="00183434" w:rsidP="00183434">
      <w:pPr>
        <w:jc w:val="both"/>
        <w:rPr>
          <w:rFonts w:cs="Arial"/>
          <w:sz w:val="23"/>
          <w:szCs w:val="23"/>
        </w:rPr>
      </w:pPr>
      <w:r w:rsidRPr="00183434">
        <w:rPr>
          <w:rFonts w:cs="Arial"/>
          <w:sz w:val="23"/>
          <w:szCs w:val="23"/>
        </w:rPr>
        <w:t>The General Fund Working Balance was maintained at £1.5m during 2025/26.</w:t>
      </w:r>
    </w:p>
    <w:p w14:paraId="0B94E114" w14:textId="77777777" w:rsidR="00183434" w:rsidRPr="00183434" w:rsidRDefault="00183434" w:rsidP="00183434">
      <w:pPr>
        <w:jc w:val="both"/>
        <w:rPr>
          <w:rFonts w:cs="Arial"/>
          <w:sz w:val="23"/>
          <w:szCs w:val="23"/>
          <w:highlight w:val="cyan"/>
        </w:rPr>
      </w:pPr>
    </w:p>
    <w:p w14:paraId="698B74FC" w14:textId="77777777" w:rsidR="00183434" w:rsidRPr="00183434" w:rsidRDefault="00183434" w:rsidP="00183434">
      <w:pPr>
        <w:jc w:val="both"/>
        <w:rPr>
          <w:rFonts w:cs="Arial"/>
          <w:b/>
          <w:sz w:val="23"/>
          <w:szCs w:val="23"/>
          <w:u w:val="single"/>
        </w:rPr>
      </w:pPr>
      <w:r w:rsidRPr="00183434">
        <w:rPr>
          <w:rFonts w:cs="Arial"/>
          <w:b/>
          <w:sz w:val="23"/>
          <w:szCs w:val="23"/>
          <w:u w:val="single"/>
        </w:rPr>
        <w:t xml:space="preserve">Housing Revenue Account Outturn </w:t>
      </w:r>
    </w:p>
    <w:p w14:paraId="2613D4A5" w14:textId="77777777" w:rsidR="00183434" w:rsidRPr="00183434" w:rsidRDefault="00183434" w:rsidP="00183434">
      <w:pPr>
        <w:jc w:val="both"/>
        <w:rPr>
          <w:rFonts w:cs="Arial"/>
          <w:sz w:val="23"/>
          <w:szCs w:val="23"/>
        </w:rPr>
      </w:pPr>
    </w:p>
    <w:p w14:paraId="61D18366" w14:textId="77777777" w:rsidR="00183434" w:rsidRPr="00183434" w:rsidRDefault="00183434" w:rsidP="00183434">
      <w:pPr>
        <w:jc w:val="both"/>
        <w:rPr>
          <w:rFonts w:cs="Arial"/>
          <w:sz w:val="23"/>
          <w:szCs w:val="23"/>
        </w:rPr>
      </w:pPr>
      <w:r w:rsidRPr="00183434">
        <w:rPr>
          <w:rFonts w:cs="Arial"/>
          <w:sz w:val="23"/>
          <w:szCs w:val="23"/>
        </w:rPr>
        <w:t>The Council continues to be the major provider of rental accommodation in the Borough. All income and expenditure relating to the landlord function of providing council housing must be accounted for within a ring-fenced account called the Housing Revenue Account (HRA). The ring-fencing means that the account cannot be used to subsidise other Council activities and similarly other activities cannot be used to subsidise the HRA.</w:t>
      </w:r>
    </w:p>
    <w:p w14:paraId="3DAAC881" w14:textId="77777777" w:rsidR="00183434" w:rsidRPr="00183434" w:rsidRDefault="00183434" w:rsidP="00183434">
      <w:pPr>
        <w:jc w:val="both"/>
        <w:rPr>
          <w:rFonts w:cs="Arial"/>
          <w:sz w:val="23"/>
          <w:szCs w:val="23"/>
        </w:rPr>
      </w:pPr>
    </w:p>
    <w:p w14:paraId="5BDADEA5" w14:textId="77777777" w:rsidR="00183434" w:rsidRPr="00183434" w:rsidRDefault="00183434" w:rsidP="00183434">
      <w:pPr>
        <w:jc w:val="both"/>
        <w:rPr>
          <w:rFonts w:cs="Arial"/>
          <w:sz w:val="23"/>
          <w:szCs w:val="23"/>
          <w:highlight w:val="yellow"/>
        </w:rPr>
      </w:pPr>
      <w:r w:rsidRPr="00183434">
        <w:rPr>
          <w:rFonts w:cs="Arial"/>
          <w:sz w:val="23"/>
          <w:szCs w:val="23"/>
        </w:rPr>
        <w:t>The HRA for 2025/26 shows an increase to the HRA balance carried forward of £519k. The main variances are set out below:</w:t>
      </w:r>
    </w:p>
    <w:p w14:paraId="769C3B5A" w14:textId="77777777" w:rsidR="00183434" w:rsidRPr="00183434" w:rsidRDefault="00183434" w:rsidP="00183434">
      <w:pPr>
        <w:numPr>
          <w:ilvl w:val="0"/>
          <w:numId w:val="45"/>
        </w:numPr>
        <w:tabs>
          <w:tab w:val="left" w:pos="1134"/>
        </w:tabs>
        <w:ind w:left="1134" w:hanging="425"/>
        <w:jc w:val="both"/>
        <w:rPr>
          <w:rFonts w:cs="Arial"/>
          <w:sz w:val="23"/>
          <w:szCs w:val="23"/>
        </w:rPr>
      </w:pPr>
      <w:r w:rsidRPr="00183434">
        <w:rPr>
          <w:rFonts w:cs="Arial"/>
          <w:sz w:val="23"/>
          <w:szCs w:val="23"/>
        </w:rPr>
        <w:t>Rents income has reduced due to an increase in the level of void properties.</w:t>
      </w:r>
    </w:p>
    <w:p w14:paraId="629DDC9C" w14:textId="77777777" w:rsidR="00183434" w:rsidRPr="00183434" w:rsidRDefault="00183434" w:rsidP="00183434">
      <w:pPr>
        <w:numPr>
          <w:ilvl w:val="0"/>
          <w:numId w:val="45"/>
        </w:numPr>
        <w:tabs>
          <w:tab w:val="left" w:pos="1134"/>
        </w:tabs>
        <w:ind w:left="1134" w:hanging="425"/>
        <w:jc w:val="both"/>
        <w:rPr>
          <w:rFonts w:cs="Arial"/>
          <w:sz w:val="23"/>
          <w:szCs w:val="23"/>
        </w:rPr>
      </w:pPr>
      <w:r w:rsidRPr="00183434">
        <w:rPr>
          <w:rFonts w:cs="Arial"/>
          <w:sz w:val="23"/>
          <w:szCs w:val="23"/>
        </w:rPr>
        <w:t>Supervision and Management costs have decreased due primarily to in year employee savings from vacant posts, increased recharges to support capital schemes, underspending on utilities and other operating costs.</w:t>
      </w:r>
    </w:p>
    <w:p w14:paraId="5D2542AF" w14:textId="77777777" w:rsidR="00183434" w:rsidRPr="00183434" w:rsidRDefault="00183434" w:rsidP="00183434">
      <w:pPr>
        <w:numPr>
          <w:ilvl w:val="0"/>
          <w:numId w:val="46"/>
        </w:numPr>
        <w:tabs>
          <w:tab w:val="left" w:pos="1134"/>
        </w:tabs>
        <w:ind w:left="1134" w:hanging="425"/>
        <w:jc w:val="both"/>
        <w:rPr>
          <w:rFonts w:cs="Arial"/>
          <w:sz w:val="23"/>
          <w:szCs w:val="23"/>
        </w:rPr>
      </w:pPr>
      <w:r w:rsidRPr="00183434">
        <w:rPr>
          <w:rFonts w:cs="Arial"/>
          <w:sz w:val="23"/>
          <w:szCs w:val="23"/>
        </w:rPr>
        <w:t xml:space="preserve">Repairs and Maintenance - an overspend has arisen primarily from higher levels of repair and maintenance expenditure charged to revenue together with a lower level of capital works delivered by Housing Property Services. </w:t>
      </w:r>
    </w:p>
    <w:p w14:paraId="797C10A2" w14:textId="77777777" w:rsidR="00183434" w:rsidRPr="00183434" w:rsidRDefault="00183434" w:rsidP="00183434">
      <w:pPr>
        <w:jc w:val="both"/>
        <w:rPr>
          <w:rFonts w:cs="Arial"/>
          <w:sz w:val="23"/>
          <w:szCs w:val="23"/>
          <w:highlight w:val="yellow"/>
        </w:rPr>
      </w:pPr>
    </w:p>
    <w:p w14:paraId="2797079F" w14:textId="77777777" w:rsidR="00183434" w:rsidRPr="00183434" w:rsidRDefault="00183434" w:rsidP="00183434">
      <w:pPr>
        <w:jc w:val="both"/>
        <w:rPr>
          <w:rFonts w:cs="Arial"/>
          <w:sz w:val="23"/>
          <w:szCs w:val="23"/>
        </w:rPr>
      </w:pPr>
      <w:r w:rsidRPr="00183434">
        <w:rPr>
          <w:rFonts w:cs="Arial"/>
          <w:sz w:val="23"/>
          <w:szCs w:val="23"/>
        </w:rPr>
        <w:t xml:space="preserve">The HRA balance is in line with expectations, primarily by reducing the direct revenue financing of the capital programme and by removing the provision for the voluntary repayment of debt. </w:t>
      </w:r>
    </w:p>
    <w:p w14:paraId="680C2079" w14:textId="77777777" w:rsidR="00183434" w:rsidRPr="00183434" w:rsidRDefault="00183434" w:rsidP="00183434">
      <w:pPr>
        <w:jc w:val="both"/>
        <w:rPr>
          <w:rFonts w:cs="Arial"/>
          <w:b/>
          <w:sz w:val="23"/>
          <w:szCs w:val="23"/>
          <w:highlight w:val="cyan"/>
          <w:u w:val="single"/>
        </w:rPr>
      </w:pPr>
    </w:p>
    <w:p w14:paraId="0D3E14EB" w14:textId="77777777" w:rsidR="00183434" w:rsidRDefault="00183434">
      <w:pPr>
        <w:rPr>
          <w:rFonts w:cs="Arial"/>
          <w:b/>
          <w:sz w:val="23"/>
          <w:szCs w:val="23"/>
          <w:u w:val="single"/>
        </w:rPr>
      </w:pPr>
      <w:r>
        <w:rPr>
          <w:rFonts w:cs="Arial"/>
          <w:b/>
          <w:sz w:val="23"/>
          <w:szCs w:val="23"/>
          <w:u w:val="single"/>
        </w:rPr>
        <w:br w:type="page"/>
      </w:r>
    </w:p>
    <w:p w14:paraId="3446A743" w14:textId="6D165815" w:rsidR="00183434" w:rsidRPr="00183434" w:rsidRDefault="00183434" w:rsidP="00183434">
      <w:pPr>
        <w:jc w:val="both"/>
        <w:rPr>
          <w:rFonts w:cs="Arial"/>
          <w:b/>
          <w:sz w:val="23"/>
          <w:szCs w:val="23"/>
          <w:u w:val="single"/>
        </w:rPr>
      </w:pPr>
      <w:r w:rsidRPr="00183434">
        <w:rPr>
          <w:rFonts w:cs="Arial"/>
          <w:b/>
          <w:sz w:val="23"/>
          <w:szCs w:val="23"/>
          <w:u w:val="single"/>
        </w:rPr>
        <w:lastRenderedPageBreak/>
        <w:t>Capital Spending in 2025/26</w:t>
      </w:r>
    </w:p>
    <w:p w14:paraId="158B7EFF" w14:textId="77777777" w:rsidR="00183434" w:rsidRPr="00183434" w:rsidRDefault="00183434" w:rsidP="00183434">
      <w:pPr>
        <w:jc w:val="both"/>
        <w:rPr>
          <w:rFonts w:cs="Arial"/>
          <w:sz w:val="23"/>
          <w:szCs w:val="23"/>
        </w:rPr>
      </w:pPr>
    </w:p>
    <w:p w14:paraId="2393C552" w14:textId="77777777" w:rsidR="00183434" w:rsidRPr="00183434" w:rsidRDefault="00183434" w:rsidP="00183434">
      <w:pPr>
        <w:jc w:val="both"/>
        <w:rPr>
          <w:rFonts w:cs="Arial"/>
          <w:sz w:val="23"/>
          <w:szCs w:val="23"/>
        </w:rPr>
      </w:pPr>
      <w:r w:rsidRPr="00183434">
        <w:rPr>
          <w:rFonts w:cs="Arial"/>
          <w:sz w:val="23"/>
          <w:szCs w:val="23"/>
        </w:rPr>
        <w:t xml:space="preserve">A summary of the capital expenditure and financing is shown in Note 24 to the core financial statements. </w:t>
      </w:r>
    </w:p>
    <w:p w14:paraId="7705959B" w14:textId="77777777" w:rsidR="00183434" w:rsidRPr="00183434" w:rsidRDefault="00183434" w:rsidP="00183434">
      <w:pPr>
        <w:jc w:val="both"/>
        <w:rPr>
          <w:rFonts w:cs="Arial"/>
          <w:sz w:val="23"/>
          <w:szCs w:val="23"/>
        </w:rPr>
      </w:pPr>
    </w:p>
    <w:p w14:paraId="2C494BB4" w14:textId="77777777" w:rsidR="00183434" w:rsidRPr="00183434" w:rsidRDefault="00183434" w:rsidP="00183434">
      <w:pPr>
        <w:jc w:val="both"/>
        <w:rPr>
          <w:rFonts w:cs="Arial"/>
          <w:sz w:val="23"/>
          <w:szCs w:val="23"/>
        </w:rPr>
      </w:pPr>
      <w:r w:rsidRPr="00183434">
        <w:rPr>
          <w:rFonts w:cs="Arial"/>
          <w:sz w:val="23"/>
          <w:szCs w:val="23"/>
        </w:rPr>
        <w:t>Capital expenditure on General Fund services totalled £26.5m. The main projects included:</w:t>
      </w:r>
    </w:p>
    <w:p w14:paraId="12E9FD8D" w14:textId="77777777" w:rsidR="00183434" w:rsidRPr="00183434" w:rsidRDefault="00183434" w:rsidP="00183434">
      <w:pPr>
        <w:jc w:val="both"/>
        <w:rPr>
          <w:rFonts w:cs="Arial"/>
          <w:sz w:val="23"/>
          <w:szCs w:val="23"/>
        </w:rPr>
      </w:pPr>
    </w:p>
    <w:p w14:paraId="35B0D6CD" w14:textId="77777777" w:rsidR="00183434" w:rsidRPr="00183434" w:rsidRDefault="00183434" w:rsidP="00183434">
      <w:pPr>
        <w:numPr>
          <w:ilvl w:val="0"/>
          <w:numId w:val="5"/>
        </w:numPr>
        <w:jc w:val="both"/>
        <w:rPr>
          <w:rFonts w:cs="Arial"/>
          <w:sz w:val="23"/>
          <w:szCs w:val="23"/>
        </w:rPr>
      </w:pPr>
      <w:r w:rsidRPr="00183434">
        <w:rPr>
          <w:rFonts w:cs="Arial"/>
          <w:sz w:val="23"/>
          <w:szCs w:val="23"/>
        </w:rPr>
        <w:t>Stephenson Memorial Hall refurbishment - £8.6m</w:t>
      </w:r>
    </w:p>
    <w:p w14:paraId="5C2D4260" w14:textId="77777777" w:rsidR="00183434" w:rsidRPr="00183434" w:rsidRDefault="00183434" w:rsidP="00183434">
      <w:pPr>
        <w:pStyle w:val="ListParagraph"/>
        <w:numPr>
          <w:ilvl w:val="0"/>
          <w:numId w:val="5"/>
        </w:numPr>
        <w:spacing w:after="0" w:line="240" w:lineRule="auto"/>
        <w:contextualSpacing/>
        <w:jc w:val="both"/>
        <w:rPr>
          <w:rFonts w:ascii="Arial" w:hAnsi="Arial" w:cs="Arial"/>
          <w:sz w:val="23"/>
          <w:szCs w:val="23"/>
        </w:rPr>
      </w:pPr>
      <w:r w:rsidRPr="00183434">
        <w:rPr>
          <w:rFonts w:ascii="Arial" w:hAnsi="Arial" w:cs="Arial"/>
          <w:sz w:val="23"/>
          <w:szCs w:val="23"/>
        </w:rPr>
        <w:t>Staveley Town Deal - £8.1m</w:t>
      </w:r>
    </w:p>
    <w:p w14:paraId="4F5836CA" w14:textId="77777777" w:rsidR="00183434" w:rsidRPr="00183434" w:rsidRDefault="00183434" w:rsidP="00183434">
      <w:pPr>
        <w:numPr>
          <w:ilvl w:val="0"/>
          <w:numId w:val="5"/>
        </w:numPr>
        <w:jc w:val="both"/>
        <w:rPr>
          <w:rFonts w:cs="Arial"/>
          <w:sz w:val="23"/>
          <w:szCs w:val="23"/>
        </w:rPr>
      </w:pPr>
      <w:r w:rsidRPr="00183434">
        <w:rPr>
          <w:rFonts w:cs="Arial"/>
          <w:sz w:val="23"/>
          <w:szCs w:val="23"/>
        </w:rPr>
        <w:t>Town Centre transformation - £3.7m</w:t>
      </w:r>
    </w:p>
    <w:p w14:paraId="063ABC07" w14:textId="77777777" w:rsidR="00183434" w:rsidRPr="00183434" w:rsidRDefault="00183434" w:rsidP="00183434">
      <w:pPr>
        <w:pStyle w:val="ListParagraph"/>
        <w:numPr>
          <w:ilvl w:val="0"/>
          <w:numId w:val="5"/>
        </w:numPr>
        <w:spacing w:after="0" w:line="240" w:lineRule="auto"/>
        <w:contextualSpacing/>
        <w:jc w:val="both"/>
        <w:rPr>
          <w:rFonts w:ascii="Arial" w:hAnsi="Arial" w:cs="Arial"/>
          <w:sz w:val="23"/>
          <w:szCs w:val="23"/>
        </w:rPr>
      </w:pPr>
      <w:r w:rsidRPr="00183434">
        <w:rPr>
          <w:rFonts w:ascii="Arial" w:hAnsi="Arial" w:cs="Arial"/>
          <w:sz w:val="23"/>
          <w:szCs w:val="23"/>
        </w:rPr>
        <w:t>House Renovation, Disabled Facilities and Green Homes Grants - £2.0m</w:t>
      </w:r>
    </w:p>
    <w:p w14:paraId="164C0773" w14:textId="77777777" w:rsidR="00183434" w:rsidRPr="00183434" w:rsidRDefault="00183434" w:rsidP="00183434">
      <w:pPr>
        <w:numPr>
          <w:ilvl w:val="0"/>
          <w:numId w:val="5"/>
        </w:numPr>
        <w:jc w:val="both"/>
        <w:rPr>
          <w:rFonts w:cs="Arial"/>
          <w:sz w:val="23"/>
          <w:szCs w:val="23"/>
        </w:rPr>
      </w:pPr>
      <w:r w:rsidRPr="00183434">
        <w:rPr>
          <w:rFonts w:cs="Arial"/>
          <w:sz w:val="23"/>
          <w:szCs w:val="23"/>
        </w:rPr>
        <w:t>Weekly food waste collection - £0.9m</w:t>
      </w:r>
    </w:p>
    <w:p w14:paraId="7DC69560" w14:textId="77777777" w:rsidR="00183434" w:rsidRPr="00183434" w:rsidRDefault="00183434" w:rsidP="00183434">
      <w:pPr>
        <w:ind w:firstLine="60"/>
        <w:jc w:val="both"/>
        <w:rPr>
          <w:rFonts w:cs="Arial"/>
          <w:color w:val="FF0000"/>
          <w:sz w:val="23"/>
          <w:szCs w:val="23"/>
        </w:rPr>
      </w:pPr>
    </w:p>
    <w:p w14:paraId="465D7278" w14:textId="77777777" w:rsidR="00183434" w:rsidRPr="00183434" w:rsidRDefault="00183434" w:rsidP="00183434">
      <w:pPr>
        <w:jc w:val="both"/>
        <w:rPr>
          <w:rFonts w:cs="Arial"/>
          <w:sz w:val="23"/>
          <w:szCs w:val="23"/>
          <w:highlight w:val="yellow"/>
        </w:rPr>
      </w:pPr>
      <w:r w:rsidRPr="00183434">
        <w:rPr>
          <w:rFonts w:cs="Arial"/>
          <w:sz w:val="23"/>
          <w:szCs w:val="23"/>
        </w:rPr>
        <w:t>A large proportion of the General Fund Capital Programme in 2025/26 was funded from grants and contributions (£16.4m). The remainder was financed from reserves (£5.5m), capital receipts (£4.3m) and borrowing (£0.3m).</w:t>
      </w:r>
    </w:p>
    <w:p w14:paraId="09FD4355" w14:textId="77777777" w:rsidR="00183434" w:rsidRPr="00183434" w:rsidRDefault="00183434" w:rsidP="00183434">
      <w:pPr>
        <w:jc w:val="both"/>
        <w:rPr>
          <w:rFonts w:cs="Arial"/>
          <w:sz w:val="23"/>
          <w:szCs w:val="23"/>
          <w:highlight w:val="yellow"/>
        </w:rPr>
      </w:pPr>
    </w:p>
    <w:p w14:paraId="540CD045" w14:textId="77777777" w:rsidR="00183434" w:rsidRPr="00183434" w:rsidRDefault="00183434" w:rsidP="00183434">
      <w:pPr>
        <w:jc w:val="both"/>
        <w:rPr>
          <w:rFonts w:cs="Arial"/>
          <w:sz w:val="23"/>
          <w:szCs w:val="23"/>
          <w:highlight w:val="yellow"/>
        </w:rPr>
      </w:pPr>
      <w:r w:rsidRPr="00183434">
        <w:rPr>
          <w:rFonts w:cs="Arial"/>
          <w:sz w:val="23"/>
          <w:szCs w:val="23"/>
        </w:rPr>
        <w:t xml:space="preserve">Capital expenditure on Council Housing, aimed particularly at maintaining dwellings at the decent </w:t>
      </w:r>
      <w:proofErr w:type="gramStart"/>
      <w:r w:rsidRPr="00183434">
        <w:rPr>
          <w:rFonts w:cs="Arial"/>
          <w:sz w:val="23"/>
          <w:szCs w:val="23"/>
        </w:rPr>
        <w:t>homes</w:t>
      </w:r>
      <w:proofErr w:type="gramEnd"/>
      <w:r w:rsidRPr="00183434">
        <w:rPr>
          <w:rFonts w:cs="Arial"/>
          <w:sz w:val="23"/>
          <w:szCs w:val="23"/>
        </w:rPr>
        <w:t xml:space="preserve"> standard, was £20.4m. </w:t>
      </w:r>
    </w:p>
    <w:p w14:paraId="0A9ED058" w14:textId="77777777" w:rsidR="00183434" w:rsidRPr="00183434" w:rsidRDefault="00183434" w:rsidP="00183434">
      <w:pPr>
        <w:jc w:val="both"/>
        <w:rPr>
          <w:rFonts w:cs="Arial"/>
          <w:sz w:val="23"/>
          <w:szCs w:val="23"/>
          <w:highlight w:val="yellow"/>
        </w:rPr>
      </w:pPr>
    </w:p>
    <w:p w14:paraId="09AB7B51" w14:textId="77777777" w:rsidR="00183434" w:rsidRPr="00183434" w:rsidRDefault="00183434" w:rsidP="00183434">
      <w:pPr>
        <w:jc w:val="both"/>
        <w:rPr>
          <w:rFonts w:cs="Arial"/>
          <w:sz w:val="23"/>
          <w:szCs w:val="23"/>
        </w:rPr>
      </w:pPr>
      <w:r w:rsidRPr="00183434">
        <w:rPr>
          <w:rFonts w:cs="Arial"/>
          <w:sz w:val="23"/>
          <w:szCs w:val="23"/>
        </w:rPr>
        <w:t xml:space="preserve">Our housing stock continues to see </w:t>
      </w:r>
      <w:proofErr w:type="gramStart"/>
      <w:r w:rsidRPr="00183434">
        <w:rPr>
          <w:rFonts w:cs="Arial"/>
          <w:sz w:val="23"/>
          <w:szCs w:val="23"/>
        </w:rPr>
        <w:t>a number of</w:t>
      </w:r>
      <w:proofErr w:type="gramEnd"/>
      <w:r w:rsidRPr="00183434">
        <w:rPr>
          <w:rFonts w:cs="Arial"/>
          <w:sz w:val="23"/>
          <w:szCs w:val="23"/>
        </w:rPr>
        <w:t xml:space="preserve"> ‘Right to Buys’ and these receipts are reinvested in line with government policy.</w:t>
      </w:r>
    </w:p>
    <w:p w14:paraId="12A68083" w14:textId="77777777" w:rsidR="00183434" w:rsidRPr="00183434" w:rsidRDefault="00183434" w:rsidP="00183434">
      <w:pPr>
        <w:jc w:val="both"/>
        <w:rPr>
          <w:rFonts w:cs="Arial"/>
          <w:sz w:val="23"/>
          <w:szCs w:val="23"/>
        </w:rPr>
      </w:pPr>
    </w:p>
    <w:p w14:paraId="189CC9E7" w14:textId="77777777" w:rsidR="00183434" w:rsidRPr="00183434" w:rsidRDefault="00183434" w:rsidP="00183434">
      <w:pPr>
        <w:jc w:val="both"/>
        <w:rPr>
          <w:rFonts w:cs="Arial"/>
          <w:sz w:val="23"/>
          <w:szCs w:val="23"/>
        </w:rPr>
      </w:pPr>
      <w:r w:rsidRPr="00183434">
        <w:rPr>
          <w:rFonts w:cs="Arial"/>
          <w:sz w:val="23"/>
          <w:szCs w:val="23"/>
        </w:rPr>
        <w:t>The approved capital programme for the next three years will be financed from borrowing, earmarked reserves, anticipated capital receipts, and grants.</w:t>
      </w:r>
    </w:p>
    <w:p w14:paraId="51FA721E" w14:textId="77777777" w:rsidR="00183434" w:rsidRPr="00183434" w:rsidRDefault="00183434" w:rsidP="00183434">
      <w:pPr>
        <w:jc w:val="both"/>
        <w:rPr>
          <w:rFonts w:cs="Arial"/>
          <w:b/>
          <w:sz w:val="23"/>
          <w:szCs w:val="23"/>
          <w:highlight w:val="cyan"/>
          <w:u w:val="single"/>
        </w:rPr>
      </w:pPr>
    </w:p>
    <w:p w14:paraId="0FF8C284" w14:textId="77777777" w:rsidR="00183434" w:rsidRPr="00183434" w:rsidRDefault="00183434" w:rsidP="00183434">
      <w:pPr>
        <w:jc w:val="both"/>
        <w:rPr>
          <w:rFonts w:cs="Arial"/>
          <w:b/>
          <w:bCs/>
          <w:sz w:val="23"/>
          <w:szCs w:val="23"/>
          <w:u w:val="single"/>
        </w:rPr>
      </w:pPr>
      <w:r w:rsidRPr="00183434">
        <w:rPr>
          <w:rFonts w:cs="Arial"/>
          <w:b/>
          <w:bCs/>
          <w:sz w:val="23"/>
          <w:szCs w:val="23"/>
          <w:u w:val="single"/>
        </w:rPr>
        <w:t>Staveley Town Deal</w:t>
      </w:r>
    </w:p>
    <w:p w14:paraId="554AFEB8" w14:textId="77777777" w:rsidR="00183434" w:rsidRPr="00183434" w:rsidRDefault="00183434" w:rsidP="00183434">
      <w:pPr>
        <w:jc w:val="both"/>
        <w:rPr>
          <w:rFonts w:cs="Arial"/>
          <w:sz w:val="23"/>
          <w:szCs w:val="23"/>
        </w:rPr>
      </w:pPr>
    </w:p>
    <w:p w14:paraId="391ABE99" w14:textId="77777777" w:rsidR="00183434" w:rsidRPr="00183434" w:rsidRDefault="00183434" w:rsidP="00183434">
      <w:pPr>
        <w:jc w:val="both"/>
        <w:rPr>
          <w:rFonts w:cs="Arial"/>
          <w:sz w:val="23"/>
          <w:szCs w:val="23"/>
        </w:rPr>
      </w:pPr>
      <w:r w:rsidRPr="00183434">
        <w:rPr>
          <w:rFonts w:cs="Arial"/>
          <w:sz w:val="23"/>
          <w:szCs w:val="23"/>
        </w:rPr>
        <w:t>In October 2019, Staveley was one of 101 locations invited to bid into the Towns Fund. In March 2021, the Town Investment Plan for Staveley was approved by Government, securing funding of £25.2m to deliver a range of projects that will have a transformational impact on Staveley, driving economic growth, offering quality skills and employment opportunities, and improving the Town Centre, green spaces and canal network around Staveley.</w:t>
      </w:r>
    </w:p>
    <w:p w14:paraId="520EC0AF" w14:textId="77777777" w:rsidR="00183434" w:rsidRPr="00183434" w:rsidRDefault="00183434" w:rsidP="00183434">
      <w:pPr>
        <w:jc w:val="both"/>
        <w:rPr>
          <w:rFonts w:cs="Arial"/>
          <w:sz w:val="23"/>
          <w:szCs w:val="23"/>
        </w:rPr>
      </w:pPr>
    </w:p>
    <w:p w14:paraId="1B02CFE5" w14:textId="77777777" w:rsidR="00183434" w:rsidRPr="00183434" w:rsidRDefault="00183434" w:rsidP="00183434">
      <w:pPr>
        <w:jc w:val="both"/>
        <w:rPr>
          <w:rFonts w:cs="Arial"/>
          <w:sz w:val="23"/>
          <w:szCs w:val="23"/>
        </w:rPr>
      </w:pPr>
      <w:r w:rsidRPr="00183434">
        <w:rPr>
          <w:rFonts w:cs="Arial"/>
          <w:sz w:val="23"/>
          <w:szCs w:val="23"/>
        </w:rPr>
        <w:t>The Staveley Town Deal Board provide strategic direction to the development and implementation of the Staveley Town Deal and work in partnership with Chesterfield Borough Council who act as the Accountable Body.</w:t>
      </w:r>
    </w:p>
    <w:p w14:paraId="55EE4142" w14:textId="77777777" w:rsidR="00183434" w:rsidRPr="00183434" w:rsidRDefault="00183434" w:rsidP="00183434">
      <w:pPr>
        <w:jc w:val="both"/>
        <w:rPr>
          <w:rFonts w:cs="Arial"/>
          <w:sz w:val="23"/>
          <w:szCs w:val="23"/>
          <w:highlight w:val="cyan"/>
        </w:rPr>
      </w:pPr>
    </w:p>
    <w:p w14:paraId="304A5C3E" w14:textId="77777777" w:rsidR="00183434" w:rsidRPr="00183434" w:rsidRDefault="00183434" w:rsidP="00183434">
      <w:pPr>
        <w:jc w:val="both"/>
        <w:rPr>
          <w:rFonts w:cs="Arial"/>
          <w:sz w:val="23"/>
          <w:szCs w:val="23"/>
        </w:rPr>
      </w:pPr>
      <w:r w:rsidRPr="00183434">
        <w:rPr>
          <w:rFonts w:cs="Arial"/>
          <w:sz w:val="23"/>
          <w:szCs w:val="23"/>
        </w:rPr>
        <w:t>The allocation of the funding is overseen by the Staveley Town Deal Board, and ten projects were approved for receipt of this grant and satisfactory business cases were approved by the Board, the council as Accountable Body and the HM Government. Across the ten projects there were seven different sponsor organisations, a far greater diversity than is typically the case for other Town Deals. This council is the sponsor organisation for three of the projects and these have been included in our approved capital programme. The projects have now been completed to programme and budget.</w:t>
      </w:r>
    </w:p>
    <w:p w14:paraId="2FC17324" w14:textId="77777777" w:rsidR="00183434" w:rsidRPr="00183434" w:rsidRDefault="00183434" w:rsidP="00183434">
      <w:pPr>
        <w:jc w:val="both"/>
        <w:rPr>
          <w:rFonts w:cs="Arial"/>
          <w:sz w:val="23"/>
          <w:szCs w:val="23"/>
          <w:highlight w:val="cyan"/>
        </w:rPr>
      </w:pPr>
    </w:p>
    <w:p w14:paraId="2B6B03E5" w14:textId="77777777" w:rsidR="00183434" w:rsidRPr="00183434" w:rsidRDefault="00183434" w:rsidP="00183434">
      <w:pPr>
        <w:jc w:val="both"/>
        <w:rPr>
          <w:rFonts w:cs="Arial"/>
          <w:sz w:val="23"/>
          <w:szCs w:val="23"/>
          <w:highlight w:val="cyan"/>
        </w:rPr>
      </w:pPr>
      <w:r w:rsidRPr="00183434">
        <w:rPr>
          <w:rFonts w:cs="Arial"/>
          <w:sz w:val="23"/>
          <w:szCs w:val="23"/>
        </w:rPr>
        <w:t xml:space="preserve">The Staveley Town Deal income and expenditure is accounted and administered independently from the Council’s accounts and therefore, do not form part of the financial statements which appear later in this Statement of Accounts with the exception in respect of cash collected or expenditure incurred by the agent on behalf of the principal, in which case there is a debtor or creditor position. This is in accordance with the principles set out in the Local Authority Accounting Code of Practice where the Council is acting as an intermediary and is therefore following the agent principle as set out in the Code. </w:t>
      </w:r>
    </w:p>
    <w:p w14:paraId="43813D89" w14:textId="77777777" w:rsidR="00183434" w:rsidRPr="00183434" w:rsidRDefault="00183434" w:rsidP="00183434">
      <w:pPr>
        <w:jc w:val="both"/>
        <w:rPr>
          <w:rFonts w:cs="Arial"/>
          <w:sz w:val="23"/>
          <w:szCs w:val="23"/>
          <w:highlight w:val="cyan"/>
        </w:rPr>
      </w:pPr>
    </w:p>
    <w:p w14:paraId="3FD00120" w14:textId="77777777" w:rsidR="00183434" w:rsidRDefault="00183434">
      <w:pPr>
        <w:rPr>
          <w:rFonts w:cs="Arial"/>
          <w:b/>
          <w:bCs/>
          <w:sz w:val="23"/>
          <w:szCs w:val="23"/>
          <w:u w:val="single"/>
        </w:rPr>
      </w:pPr>
      <w:r>
        <w:rPr>
          <w:rFonts w:cs="Arial"/>
          <w:b/>
          <w:bCs/>
          <w:sz w:val="23"/>
          <w:szCs w:val="23"/>
          <w:u w:val="single"/>
        </w:rPr>
        <w:br w:type="page"/>
      </w:r>
    </w:p>
    <w:p w14:paraId="50228656" w14:textId="21B53571" w:rsidR="00183434" w:rsidRPr="00183434" w:rsidRDefault="00183434" w:rsidP="00183434">
      <w:pPr>
        <w:jc w:val="both"/>
        <w:rPr>
          <w:rFonts w:cs="Arial"/>
          <w:b/>
          <w:bCs/>
          <w:sz w:val="23"/>
          <w:szCs w:val="23"/>
          <w:u w:val="single"/>
        </w:rPr>
      </w:pPr>
      <w:r w:rsidRPr="00183434">
        <w:rPr>
          <w:rFonts w:cs="Arial"/>
          <w:b/>
          <w:bCs/>
          <w:sz w:val="23"/>
          <w:szCs w:val="23"/>
          <w:u w:val="single"/>
        </w:rPr>
        <w:lastRenderedPageBreak/>
        <w:t>Levelling up Funding</w:t>
      </w:r>
    </w:p>
    <w:p w14:paraId="57887BB7" w14:textId="77777777" w:rsidR="00183434" w:rsidRPr="00183434" w:rsidRDefault="00183434" w:rsidP="00183434">
      <w:pPr>
        <w:jc w:val="both"/>
        <w:rPr>
          <w:rFonts w:cs="Arial"/>
          <w:sz w:val="23"/>
          <w:szCs w:val="23"/>
        </w:rPr>
      </w:pPr>
    </w:p>
    <w:p w14:paraId="29FEF998" w14:textId="77777777" w:rsidR="00183434" w:rsidRPr="00183434" w:rsidRDefault="00183434" w:rsidP="00183434">
      <w:pPr>
        <w:jc w:val="both"/>
        <w:rPr>
          <w:rFonts w:cs="Arial"/>
          <w:sz w:val="23"/>
          <w:szCs w:val="23"/>
        </w:rPr>
      </w:pPr>
      <w:r w:rsidRPr="00183434">
        <w:rPr>
          <w:rFonts w:cs="Arial"/>
          <w:sz w:val="23"/>
          <w:szCs w:val="23"/>
        </w:rPr>
        <w:t xml:space="preserve">The Council submitted a £19.98m bid for round one of the Levelling Up Fund (LUF) in June 2021. The bid sought £11.4m of funding for projects to remodel and refurbish George Stephenson Memorial Hall extending the Pomegranate Theatre, reconfiguring and modernising Chesterfield Museum and introducing new gallery space, a café bar, education, and community facilities. The remaining £8.5m was to be allocated to further regenerate Chesterfield’s historic town centre, with investment centred on four key public spaces and the connections between them – Corporation Street, </w:t>
      </w:r>
      <w:proofErr w:type="spellStart"/>
      <w:r w:rsidRPr="00183434">
        <w:rPr>
          <w:rFonts w:cs="Arial"/>
          <w:sz w:val="23"/>
          <w:szCs w:val="23"/>
        </w:rPr>
        <w:t>Rykneld</w:t>
      </w:r>
      <w:proofErr w:type="spellEnd"/>
      <w:r w:rsidRPr="00183434">
        <w:rPr>
          <w:rFonts w:cs="Arial"/>
          <w:sz w:val="23"/>
          <w:szCs w:val="23"/>
        </w:rPr>
        <w:t xml:space="preserve"> Square, Market Square and New Square. The bid was confirmed as part of the Autumn Budget and Spending Review 2022 and delivery is almost complete for </w:t>
      </w:r>
      <w:proofErr w:type="gramStart"/>
      <w:r w:rsidRPr="00183434">
        <w:rPr>
          <w:rFonts w:cs="Arial"/>
          <w:sz w:val="23"/>
          <w:szCs w:val="23"/>
        </w:rPr>
        <w:t>both of the projects</w:t>
      </w:r>
      <w:proofErr w:type="gramEnd"/>
      <w:r w:rsidRPr="00183434">
        <w:rPr>
          <w:rFonts w:cs="Arial"/>
          <w:sz w:val="23"/>
          <w:szCs w:val="23"/>
        </w:rPr>
        <w:t xml:space="preserve"> with </w:t>
      </w:r>
      <w:proofErr w:type="gramStart"/>
      <w:r w:rsidRPr="00183434">
        <w:rPr>
          <w:rFonts w:cs="Arial"/>
          <w:sz w:val="23"/>
          <w:szCs w:val="23"/>
        </w:rPr>
        <w:t>all of</w:t>
      </w:r>
      <w:proofErr w:type="gramEnd"/>
      <w:r w:rsidRPr="00183434">
        <w:rPr>
          <w:rFonts w:cs="Arial"/>
          <w:sz w:val="23"/>
          <w:szCs w:val="23"/>
        </w:rPr>
        <w:t xml:space="preserve"> the Levelling Up monies spent within programme. </w:t>
      </w:r>
    </w:p>
    <w:p w14:paraId="35B9F517" w14:textId="77777777" w:rsidR="00183434" w:rsidRPr="00183434" w:rsidRDefault="00183434" w:rsidP="00183434">
      <w:pPr>
        <w:jc w:val="both"/>
        <w:rPr>
          <w:rFonts w:cs="Arial"/>
          <w:sz w:val="23"/>
          <w:szCs w:val="23"/>
        </w:rPr>
      </w:pPr>
    </w:p>
    <w:p w14:paraId="39FC4806" w14:textId="77777777" w:rsidR="00183434" w:rsidRPr="00183434" w:rsidRDefault="00183434" w:rsidP="00183434">
      <w:pPr>
        <w:jc w:val="both"/>
        <w:rPr>
          <w:rFonts w:cs="Arial"/>
          <w:b/>
          <w:bCs/>
          <w:sz w:val="23"/>
          <w:szCs w:val="23"/>
          <w:u w:val="single"/>
        </w:rPr>
      </w:pPr>
      <w:r w:rsidRPr="00183434">
        <w:rPr>
          <w:rFonts w:cs="Arial"/>
          <w:b/>
          <w:bCs/>
          <w:sz w:val="23"/>
          <w:szCs w:val="23"/>
          <w:u w:val="single"/>
        </w:rPr>
        <w:t>Pride in Place</w:t>
      </w:r>
    </w:p>
    <w:p w14:paraId="1E63F1C3" w14:textId="77777777" w:rsidR="00183434" w:rsidRPr="00183434" w:rsidRDefault="00183434" w:rsidP="00183434">
      <w:pPr>
        <w:jc w:val="both"/>
        <w:rPr>
          <w:rFonts w:cs="Arial"/>
          <w:b/>
          <w:bCs/>
          <w:sz w:val="23"/>
          <w:szCs w:val="23"/>
          <w:u w:val="single"/>
        </w:rPr>
      </w:pPr>
    </w:p>
    <w:p w14:paraId="7B3E88AC" w14:textId="77777777" w:rsidR="00183434" w:rsidRPr="00183434" w:rsidRDefault="00183434" w:rsidP="00183434">
      <w:pPr>
        <w:jc w:val="both"/>
        <w:rPr>
          <w:rFonts w:cs="Arial"/>
          <w:sz w:val="23"/>
          <w:szCs w:val="23"/>
        </w:rPr>
      </w:pPr>
      <w:r w:rsidRPr="00183434">
        <w:rPr>
          <w:rFonts w:cs="Arial"/>
          <w:sz w:val="23"/>
          <w:szCs w:val="23"/>
        </w:rPr>
        <w:t>The Pride in Place programme is a government initiative originally launched in October 2023 to provide long-term investment to towns across the UK, supporting economic growth, regeneration, and community priorities. Chesterfield was selected to receive funding through this programme, with a Town Board established in 2024 to bring together local businesses, community groups, and public sector partners to shape and oversee the delivery of the plan. The funding is designed to be used over a ten-year period to improve infrastructure, enhance public spaces, support local businesses, and create opportunities that will benefit residents and visitors alike. Funding is stepped up over the years of the project with the first three projects now in progress. The council acts as the Accountable Body for the programme.</w:t>
      </w:r>
    </w:p>
    <w:p w14:paraId="290E2F96" w14:textId="77777777" w:rsidR="00183434" w:rsidRPr="00183434" w:rsidRDefault="00183434" w:rsidP="00183434">
      <w:pPr>
        <w:jc w:val="both"/>
        <w:rPr>
          <w:rFonts w:cs="Arial"/>
          <w:sz w:val="23"/>
          <w:szCs w:val="23"/>
        </w:rPr>
      </w:pPr>
    </w:p>
    <w:p w14:paraId="20446622" w14:textId="77777777" w:rsidR="00183434" w:rsidRPr="00183434" w:rsidRDefault="00183434" w:rsidP="00183434">
      <w:pPr>
        <w:jc w:val="both"/>
        <w:rPr>
          <w:rFonts w:cs="Arial"/>
          <w:b/>
          <w:bCs/>
          <w:sz w:val="23"/>
          <w:szCs w:val="23"/>
          <w:u w:val="single"/>
        </w:rPr>
      </w:pPr>
      <w:r w:rsidRPr="00183434">
        <w:rPr>
          <w:rFonts w:cs="Arial"/>
          <w:b/>
          <w:bCs/>
          <w:sz w:val="23"/>
          <w:szCs w:val="23"/>
          <w:u w:val="single"/>
        </w:rPr>
        <w:t>East Midlands Investment Zone</w:t>
      </w:r>
    </w:p>
    <w:p w14:paraId="7B0EFB9E" w14:textId="77777777" w:rsidR="00183434" w:rsidRPr="00183434" w:rsidRDefault="00183434" w:rsidP="00183434">
      <w:pPr>
        <w:jc w:val="both"/>
        <w:rPr>
          <w:rFonts w:cs="Arial"/>
          <w:b/>
          <w:bCs/>
          <w:sz w:val="23"/>
          <w:szCs w:val="23"/>
          <w:u w:val="single"/>
        </w:rPr>
      </w:pPr>
    </w:p>
    <w:p w14:paraId="08D7D15D" w14:textId="77777777" w:rsidR="00183434" w:rsidRPr="00183434" w:rsidRDefault="00183434" w:rsidP="00183434">
      <w:pPr>
        <w:jc w:val="both"/>
        <w:rPr>
          <w:rFonts w:cs="Arial"/>
          <w:sz w:val="23"/>
          <w:szCs w:val="23"/>
        </w:rPr>
      </w:pPr>
      <w:r w:rsidRPr="00183434">
        <w:rPr>
          <w:rFonts w:cs="Arial"/>
          <w:sz w:val="23"/>
          <w:szCs w:val="23"/>
        </w:rPr>
        <w:t xml:space="preserve">In December 2023, the Council approved in principle the inclusion of two parcels of land at Hartington and Staveley within the borough as part of the East Midlands Combined County Authority’s submission for Investment Zone status, with both sites designated as Business Rates Retention areas. Investment Zone status provides the opportunity to secure tax incentives and additional capital and revenue funding to support economic growth and regeneration. The designation of these sites, with a focus on green industries and advanced manufacturing, will help deliver the Council’s Growth Strategy by attracting new business investment, creating high-value jobs, and supporting the long-term redevelopment of former industrial areas such as the Staveley Growth Corridor. As Business Rates Retention sites, the Council has passed on to EMCCA the retention of 100% of business rates growth above an agreed baseline for 25 years, enabling reinvestment to drive economic prosperity for residents and businesses in the East midlands particularly around green and advance manufacturing growth. </w:t>
      </w:r>
    </w:p>
    <w:p w14:paraId="5A87A517" w14:textId="77777777" w:rsidR="00183434" w:rsidRPr="00183434" w:rsidRDefault="00183434" w:rsidP="00183434">
      <w:pPr>
        <w:jc w:val="both"/>
        <w:rPr>
          <w:rFonts w:cs="Arial"/>
          <w:sz w:val="23"/>
          <w:szCs w:val="23"/>
        </w:rPr>
      </w:pPr>
    </w:p>
    <w:p w14:paraId="20D54810" w14:textId="77777777" w:rsidR="00183434" w:rsidRPr="00183434" w:rsidRDefault="00183434" w:rsidP="00183434">
      <w:pPr>
        <w:jc w:val="both"/>
        <w:rPr>
          <w:rFonts w:cs="Arial"/>
          <w:b/>
          <w:sz w:val="23"/>
          <w:szCs w:val="23"/>
          <w:u w:val="single"/>
        </w:rPr>
      </w:pPr>
      <w:r w:rsidRPr="00183434">
        <w:rPr>
          <w:rFonts w:cs="Arial"/>
          <w:b/>
          <w:sz w:val="23"/>
          <w:szCs w:val="23"/>
          <w:u w:val="single"/>
        </w:rPr>
        <w:t xml:space="preserve">Reserves &amp; Balances </w:t>
      </w:r>
    </w:p>
    <w:p w14:paraId="313A4616" w14:textId="77777777" w:rsidR="00183434" w:rsidRPr="00183434" w:rsidRDefault="00183434" w:rsidP="00183434">
      <w:pPr>
        <w:jc w:val="both"/>
        <w:rPr>
          <w:rFonts w:cs="Arial"/>
          <w:sz w:val="23"/>
          <w:szCs w:val="23"/>
        </w:rPr>
      </w:pPr>
    </w:p>
    <w:p w14:paraId="239F7D48" w14:textId="77777777" w:rsidR="00183434" w:rsidRPr="00183434" w:rsidRDefault="00183434" w:rsidP="00183434">
      <w:pPr>
        <w:jc w:val="both"/>
        <w:rPr>
          <w:rFonts w:cs="Arial"/>
          <w:sz w:val="23"/>
          <w:szCs w:val="23"/>
        </w:rPr>
      </w:pPr>
      <w:r w:rsidRPr="00183434">
        <w:rPr>
          <w:rFonts w:cs="Arial"/>
          <w:sz w:val="23"/>
          <w:szCs w:val="23"/>
        </w:rPr>
        <w:t xml:space="preserve">The Council reserves are set out in Note 11. The Council has set money aside in </w:t>
      </w:r>
      <w:proofErr w:type="gramStart"/>
      <w:r w:rsidRPr="00183434">
        <w:rPr>
          <w:rFonts w:cs="Arial"/>
          <w:sz w:val="23"/>
          <w:szCs w:val="23"/>
        </w:rPr>
        <w:t>a number of</w:t>
      </w:r>
      <w:proofErr w:type="gramEnd"/>
      <w:r w:rsidRPr="00183434">
        <w:rPr>
          <w:rFonts w:cs="Arial"/>
          <w:sz w:val="23"/>
          <w:szCs w:val="23"/>
        </w:rPr>
        <w:t xml:space="preserve"> earmarked reserves to meet planned future commitments. </w:t>
      </w:r>
    </w:p>
    <w:p w14:paraId="3895EAFB" w14:textId="77777777" w:rsidR="00183434" w:rsidRPr="00183434" w:rsidRDefault="00183434" w:rsidP="00183434">
      <w:pPr>
        <w:jc w:val="both"/>
        <w:rPr>
          <w:rFonts w:cs="Arial"/>
          <w:sz w:val="23"/>
          <w:szCs w:val="23"/>
          <w:highlight w:val="yellow"/>
        </w:rPr>
      </w:pPr>
    </w:p>
    <w:p w14:paraId="6A645F05" w14:textId="77777777" w:rsidR="00183434" w:rsidRPr="00183434" w:rsidRDefault="00183434" w:rsidP="00183434">
      <w:pPr>
        <w:jc w:val="both"/>
        <w:rPr>
          <w:rFonts w:cs="Arial"/>
          <w:sz w:val="23"/>
          <w:szCs w:val="23"/>
        </w:rPr>
      </w:pPr>
      <w:r w:rsidRPr="00183434">
        <w:rPr>
          <w:rFonts w:cs="Arial"/>
          <w:sz w:val="23"/>
          <w:szCs w:val="23"/>
        </w:rPr>
        <w:t>The revenue working balance for the General Fund is £1.5m. The balance is prudently based on an assessment of the key income and expenditure risks facing the Council.</w:t>
      </w:r>
    </w:p>
    <w:p w14:paraId="279E39BB" w14:textId="77777777" w:rsidR="00183434" w:rsidRPr="00183434" w:rsidRDefault="00183434" w:rsidP="00183434">
      <w:pPr>
        <w:jc w:val="both"/>
        <w:rPr>
          <w:rFonts w:cs="Arial"/>
          <w:sz w:val="23"/>
          <w:szCs w:val="23"/>
        </w:rPr>
      </w:pPr>
    </w:p>
    <w:p w14:paraId="7C197885" w14:textId="77777777" w:rsidR="00183434" w:rsidRPr="00183434" w:rsidRDefault="00183434" w:rsidP="00183434">
      <w:pPr>
        <w:jc w:val="both"/>
        <w:rPr>
          <w:rFonts w:cs="Arial"/>
          <w:sz w:val="23"/>
          <w:szCs w:val="23"/>
        </w:rPr>
      </w:pPr>
      <w:r w:rsidRPr="00183434">
        <w:rPr>
          <w:rFonts w:cs="Arial"/>
          <w:sz w:val="23"/>
          <w:szCs w:val="23"/>
        </w:rPr>
        <w:t>There is a balance of £3.1m on the Housing Revenue Account at the year-end which will be needed in future years to finance capital improvement works. The Council has a policy of maintaining a minimum £3.7m HRA working balance.</w:t>
      </w:r>
    </w:p>
    <w:p w14:paraId="7831925B" w14:textId="77777777" w:rsidR="00183434" w:rsidRPr="00183434" w:rsidRDefault="00183434" w:rsidP="00183434">
      <w:pPr>
        <w:jc w:val="both"/>
        <w:rPr>
          <w:rFonts w:cs="Arial"/>
          <w:sz w:val="23"/>
          <w:szCs w:val="23"/>
        </w:rPr>
      </w:pPr>
    </w:p>
    <w:p w14:paraId="20C899A2" w14:textId="77777777" w:rsidR="00183434" w:rsidRPr="00183434" w:rsidRDefault="00183434" w:rsidP="00183434">
      <w:pPr>
        <w:jc w:val="both"/>
        <w:rPr>
          <w:rFonts w:cs="Arial"/>
          <w:sz w:val="23"/>
          <w:szCs w:val="23"/>
        </w:rPr>
      </w:pPr>
      <w:r w:rsidRPr="00183434">
        <w:rPr>
          <w:rFonts w:cs="Arial"/>
          <w:sz w:val="23"/>
          <w:szCs w:val="23"/>
        </w:rPr>
        <w:t xml:space="preserve">The Council does have an adequate level of reserves given the risks and investment needs it faces, but reserves are coming under increasing pressure and can only be used once. Further </w:t>
      </w:r>
      <w:r w:rsidRPr="00183434">
        <w:rPr>
          <w:rFonts w:cs="Arial"/>
          <w:sz w:val="23"/>
          <w:szCs w:val="23"/>
        </w:rPr>
        <w:lastRenderedPageBreak/>
        <w:t xml:space="preserve">borrowing (alongside asset disposals) will be required to make capital and operational investments to transform services and grow new income sources. The focus will continue to be on reducing the base budget, by both reducing expenditure and increasing income. </w:t>
      </w:r>
    </w:p>
    <w:p w14:paraId="4ABA96F8" w14:textId="77777777" w:rsidR="00183434" w:rsidRPr="00183434" w:rsidRDefault="00183434" w:rsidP="00183434">
      <w:pPr>
        <w:jc w:val="both"/>
        <w:rPr>
          <w:rFonts w:cs="Arial"/>
          <w:sz w:val="23"/>
          <w:szCs w:val="23"/>
        </w:rPr>
      </w:pPr>
    </w:p>
    <w:p w14:paraId="733E8DFE" w14:textId="77777777" w:rsidR="00183434" w:rsidRPr="00183434" w:rsidRDefault="00183434" w:rsidP="00183434">
      <w:pPr>
        <w:jc w:val="both"/>
        <w:rPr>
          <w:rFonts w:cs="Arial"/>
          <w:b/>
          <w:sz w:val="23"/>
          <w:szCs w:val="23"/>
          <w:u w:val="single"/>
        </w:rPr>
      </w:pPr>
      <w:r w:rsidRPr="00183434">
        <w:rPr>
          <w:rFonts w:cs="Arial"/>
          <w:b/>
          <w:sz w:val="23"/>
          <w:szCs w:val="23"/>
          <w:u w:val="single"/>
        </w:rPr>
        <w:t xml:space="preserve">Medium Term Outlook </w:t>
      </w:r>
    </w:p>
    <w:p w14:paraId="41DA4AAD" w14:textId="77777777" w:rsidR="00183434" w:rsidRPr="00183434" w:rsidRDefault="00183434" w:rsidP="00183434">
      <w:pPr>
        <w:jc w:val="both"/>
        <w:rPr>
          <w:rFonts w:cs="Arial"/>
          <w:b/>
          <w:sz w:val="23"/>
          <w:szCs w:val="23"/>
          <w:u w:val="single"/>
        </w:rPr>
      </w:pPr>
    </w:p>
    <w:p w14:paraId="6E6F9CFF" w14:textId="77777777" w:rsidR="00183434" w:rsidRPr="00183434" w:rsidRDefault="00183434" w:rsidP="00183434">
      <w:pPr>
        <w:jc w:val="both"/>
        <w:rPr>
          <w:rFonts w:cs="Arial"/>
          <w:b/>
          <w:sz w:val="23"/>
          <w:szCs w:val="23"/>
          <w:u w:val="single"/>
        </w:rPr>
      </w:pPr>
      <w:r w:rsidRPr="00183434">
        <w:rPr>
          <w:rFonts w:cs="Arial"/>
          <w:b/>
          <w:sz w:val="23"/>
          <w:szCs w:val="23"/>
          <w:u w:val="single"/>
        </w:rPr>
        <w:t>General Fund</w:t>
      </w:r>
    </w:p>
    <w:p w14:paraId="4AE6CDC9" w14:textId="77777777" w:rsidR="00183434" w:rsidRPr="00183434" w:rsidRDefault="00183434" w:rsidP="00183434">
      <w:pPr>
        <w:jc w:val="both"/>
        <w:rPr>
          <w:rFonts w:cs="Arial"/>
          <w:b/>
          <w:sz w:val="23"/>
          <w:szCs w:val="23"/>
          <w:u w:val="single"/>
        </w:rPr>
      </w:pPr>
    </w:p>
    <w:p w14:paraId="13716845" w14:textId="77777777" w:rsidR="00183434" w:rsidRPr="00183434" w:rsidRDefault="00183434" w:rsidP="00183434">
      <w:pPr>
        <w:jc w:val="both"/>
        <w:rPr>
          <w:rFonts w:cs="Arial"/>
          <w:sz w:val="23"/>
          <w:szCs w:val="23"/>
        </w:rPr>
      </w:pPr>
      <w:r w:rsidRPr="00183434">
        <w:rPr>
          <w:rFonts w:cs="Arial"/>
          <w:sz w:val="23"/>
          <w:szCs w:val="23"/>
        </w:rPr>
        <w:t>Like all local authorities, Chesterfield Borough Council continues to face significant financial challenges. The current economic climate and continued high rates of inflation have impacted on the Council’s financial position. In response to these challenges, the Council has already made significant savings over many years and taken steps to manage demand and deliver services in the most economic, efficient, and effective way.</w:t>
      </w:r>
    </w:p>
    <w:p w14:paraId="00B9E727" w14:textId="77777777" w:rsidR="00183434" w:rsidRPr="00183434" w:rsidRDefault="00183434" w:rsidP="00183434">
      <w:pPr>
        <w:jc w:val="both"/>
        <w:rPr>
          <w:rFonts w:cs="Arial"/>
          <w:sz w:val="23"/>
          <w:szCs w:val="23"/>
        </w:rPr>
      </w:pPr>
    </w:p>
    <w:p w14:paraId="76E56C9A" w14:textId="77777777" w:rsidR="00183434" w:rsidRPr="00183434" w:rsidRDefault="00183434" w:rsidP="00183434">
      <w:pPr>
        <w:jc w:val="both"/>
        <w:rPr>
          <w:rFonts w:cs="Arial"/>
          <w:sz w:val="23"/>
          <w:szCs w:val="23"/>
        </w:rPr>
      </w:pPr>
      <w:r w:rsidRPr="00183434">
        <w:rPr>
          <w:rFonts w:cs="Arial"/>
          <w:sz w:val="23"/>
          <w:szCs w:val="23"/>
        </w:rPr>
        <w:t>The Council has well-established and robust budget processes. These were outlined in the budget strategy originally approved by Council in July 2023. The strategic principles embedded within the MTFP, aim to establish a framework for aligning the revenue and capital spending proposals with the Council’s key priorities, objectives and commitments as set out in the Council Plan.</w:t>
      </w:r>
    </w:p>
    <w:p w14:paraId="5A843AF1" w14:textId="77777777" w:rsidR="00183434" w:rsidRPr="00183434" w:rsidRDefault="00183434" w:rsidP="00183434">
      <w:pPr>
        <w:jc w:val="both"/>
        <w:rPr>
          <w:rFonts w:cs="Arial"/>
          <w:sz w:val="23"/>
          <w:szCs w:val="23"/>
        </w:rPr>
      </w:pPr>
    </w:p>
    <w:p w14:paraId="1DD6239E" w14:textId="77777777" w:rsidR="00183434" w:rsidRPr="00183434" w:rsidRDefault="00183434" w:rsidP="00183434">
      <w:pPr>
        <w:jc w:val="both"/>
        <w:rPr>
          <w:rFonts w:cs="Arial"/>
          <w:sz w:val="23"/>
          <w:szCs w:val="23"/>
        </w:rPr>
      </w:pPr>
      <w:r w:rsidRPr="00183434">
        <w:rPr>
          <w:rFonts w:cs="Arial"/>
          <w:sz w:val="23"/>
          <w:szCs w:val="23"/>
        </w:rPr>
        <w:t xml:space="preserve">The key aims of the budget strategy are to ensure that sufficient funding, deliverable cost reductions, and additional income are identified to set a balanced budget for 2026/27 and over the medium-term. </w:t>
      </w:r>
    </w:p>
    <w:p w14:paraId="3B2125BD" w14:textId="77777777" w:rsidR="00183434" w:rsidRPr="00183434" w:rsidRDefault="00183434" w:rsidP="00183434">
      <w:pPr>
        <w:jc w:val="both"/>
        <w:rPr>
          <w:rFonts w:cs="Arial"/>
          <w:sz w:val="23"/>
          <w:szCs w:val="23"/>
        </w:rPr>
      </w:pPr>
    </w:p>
    <w:p w14:paraId="01B18620" w14:textId="77777777" w:rsidR="00183434" w:rsidRPr="00183434" w:rsidRDefault="00183434" w:rsidP="00183434">
      <w:pPr>
        <w:jc w:val="both"/>
        <w:rPr>
          <w:rFonts w:cs="Arial"/>
          <w:sz w:val="23"/>
          <w:szCs w:val="23"/>
        </w:rPr>
      </w:pPr>
      <w:r w:rsidRPr="00183434">
        <w:rPr>
          <w:rFonts w:cs="Arial"/>
          <w:sz w:val="23"/>
          <w:szCs w:val="23"/>
        </w:rPr>
        <w:t>A prudent approach has been taken to the estimates and assumptions used in the preparation of the budgets. Priority has given to funding existing and emerging service pressures. These have been subject to rigorous review, scrutiny and challenge by budget holders, Corporate Leadership Team, and Portfolio Holders.</w:t>
      </w:r>
    </w:p>
    <w:p w14:paraId="12733186" w14:textId="77777777" w:rsidR="00183434" w:rsidRPr="00183434" w:rsidRDefault="00183434" w:rsidP="00183434">
      <w:pPr>
        <w:jc w:val="both"/>
        <w:rPr>
          <w:rFonts w:cs="Arial"/>
          <w:sz w:val="23"/>
          <w:szCs w:val="23"/>
        </w:rPr>
      </w:pPr>
    </w:p>
    <w:p w14:paraId="683FA87D" w14:textId="77777777" w:rsidR="00183434" w:rsidRPr="00183434" w:rsidRDefault="00183434" w:rsidP="00183434">
      <w:pPr>
        <w:jc w:val="both"/>
        <w:rPr>
          <w:rFonts w:cs="Arial"/>
          <w:sz w:val="23"/>
          <w:szCs w:val="23"/>
        </w:rPr>
      </w:pPr>
      <w:r w:rsidRPr="00183434">
        <w:rPr>
          <w:rFonts w:cs="Arial"/>
          <w:sz w:val="23"/>
          <w:szCs w:val="23"/>
        </w:rPr>
        <w:t>The Council approved the General Fund Revenue budget for 2026/27 and its multi-year Medium-Term Financial Plan (MTFP) on 25 February 2026. The 2026/27 budget was constructed in accordance with the Council’s budget principles and balanced with the use of £600k of the 2025/26 Outturn underspend and £273k use of Budget Risk reserve.</w:t>
      </w:r>
    </w:p>
    <w:p w14:paraId="6D2FA6D6" w14:textId="77777777" w:rsidR="00183434" w:rsidRPr="00183434" w:rsidRDefault="00183434" w:rsidP="00183434">
      <w:pPr>
        <w:jc w:val="both"/>
        <w:rPr>
          <w:rFonts w:cs="Arial"/>
          <w:color w:val="FF0000"/>
          <w:sz w:val="23"/>
          <w:szCs w:val="23"/>
        </w:rPr>
      </w:pPr>
    </w:p>
    <w:p w14:paraId="5820615E" w14:textId="77777777" w:rsidR="00183434" w:rsidRPr="00183434" w:rsidRDefault="00183434" w:rsidP="00183434">
      <w:pPr>
        <w:jc w:val="both"/>
        <w:rPr>
          <w:rFonts w:cs="Arial"/>
          <w:sz w:val="23"/>
          <w:szCs w:val="23"/>
        </w:rPr>
      </w:pPr>
      <w:r w:rsidRPr="00183434">
        <w:rPr>
          <w:rFonts w:cs="Arial"/>
          <w:sz w:val="23"/>
          <w:szCs w:val="23"/>
        </w:rPr>
        <w:t xml:space="preserve">At the time of setting the 2026/27 budget there were notable underspends across </w:t>
      </w:r>
      <w:proofErr w:type="gramStart"/>
      <w:r w:rsidRPr="00183434">
        <w:rPr>
          <w:rFonts w:cs="Arial"/>
          <w:sz w:val="23"/>
          <w:szCs w:val="23"/>
        </w:rPr>
        <w:t>a number of</w:t>
      </w:r>
      <w:proofErr w:type="gramEnd"/>
      <w:r w:rsidRPr="00183434">
        <w:rPr>
          <w:rFonts w:cs="Arial"/>
          <w:sz w:val="23"/>
          <w:szCs w:val="23"/>
        </w:rPr>
        <w:t xml:space="preserve"> budget heads that were one-off in nature, having arisen from a managed approach where deliberate actions were taken to reduce expenditure without impacting on service delivery, or expected to recur. It was agreed that these underspends in 2025/26 could be used as a one-off contribution towards the 2026/27 budget gap.</w:t>
      </w:r>
    </w:p>
    <w:p w14:paraId="6D443647" w14:textId="77777777" w:rsidR="00183434" w:rsidRPr="00183434" w:rsidRDefault="00183434" w:rsidP="00183434">
      <w:pPr>
        <w:jc w:val="both"/>
        <w:rPr>
          <w:rFonts w:cs="Arial"/>
          <w:sz w:val="23"/>
          <w:szCs w:val="23"/>
        </w:rPr>
      </w:pPr>
    </w:p>
    <w:p w14:paraId="6CE3278B" w14:textId="77777777" w:rsidR="00183434" w:rsidRPr="00183434" w:rsidRDefault="00183434" w:rsidP="00183434">
      <w:pPr>
        <w:jc w:val="both"/>
        <w:rPr>
          <w:rFonts w:cs="Arial"/>
          <w:sz w:val="23"/>
          <w:szCs w:val="23"/>
        </w:rPr>
      </w:pPr>
      <w:r w:rsidRPr="00183434">
        <w:rPr>
          <w:rFonts w:cs="Arial"/>
          <w:sz w:val="23"/>
          <w:szCs w:val="23"/>
        </w:rPr>
        <w:t xml:space="preserve">At the time of approving the 2026/27 Budget the gaps over the MTFP were £2.8m in 2027/28 rising to £3.4m by 2028/29. It was acknowledged that the Council would not be in an immediate position to set a balanced MTFP over the whole 3-year period. Instead, the Council focused on the delivery of a balanced 2026/27 in line with legal requirements, by minimising emerging pressures and utilising reserves. The 2027/28 budget process will continue this work </w:t>
      </w:r>
      <w:proofErr w:type="gramStart"/>
      <w:r w:rsidRPr="00183434">
        <w:rPr>
          <w:rFonts w:cs="Arial"/>
          <w:sz w:val="23"/>
          <w:szCs w:val="23"/>
        </w:rPr>
        <w:t>and also</w:t>
      </w:r>
      <w:proofErr w:type="gramEnd"/>
      <w:r w:rsidRPr="00183434">
        <w:rPr>
          <w:rFonts w:cs="Arial"/>
          <w:sz w:val="23"/>
          <w:szCs w:val="23"/>
        </w:rPr>
        <w:t xml:space="preserve"> develop further options informed by the established budget strategy thematic interventions.</w:t>
      </w:r>
    </w:p>
    <w:p w14:paraId="6170F31C" w14:textId="77777777" w:rsidR="00183434" w:rsidRPr="00183434" w:rsidRDefault="00183434" w:rsidP="00183434">
      <w:pPr>
        <w:jc w:val="both"/>
        <w:rPr>
          <w:rFonts w:cs="Arial"/>
          <w:sz w:val="23"/>
          <w:szCs w:val="23"/>
        </w:rPr>
      </w:pPr>
    </w:p>
    <w:p w14:paraId="452B5D80" w14:textId="77777777" w:rsidR="00183434" w:rsidRPr="00183434" w:rsidRDefault="00183434" w:rsidP="00183434">
      <w:pPr>
        <w:jc w:val="both"/>
        <w:rPr>
          <w:rFonts w:cs="Arial"/>
          <w:sz w:val="23"/>
          <w:szCs w:val="23"/>
        </w:rPr>
      </w:pPr>
      <w:r w:rsidRPr="00183434">
        <w:rPr>
          <w:rFonts w:cs="Arial"/>
          <w:sz w:val="23"/>
          <w:szCs w:val="23"/>
        </w:rPr>
        <w:t>Notwithstanding the planned implementation of Local Government Reorganisation in April 2028 the Council has a continued responsibility to develop a medium-term plan that demonstrates it remains a financially sustainable on-going concern. This will also ensure that a robust MTFP is handed over to any successor authority.</w:t>
      </w:r>
    </w:p>
    <w:p w14:paraId="2BAED9A8" w14:textId="77777777" w:rsidR="00183434" w:rsidRPr="00183434" w:rsidRDefault="00183434" w:rsidP="00183434">
      <w:pPr>
        <w:jc w:val="both"/>
        <w:rPr>
          <w:rFonts w:cs="Arial"/>
          <w:color w:val="FF0000"/>
          <w:sz w:val="23"/>
          <w:szCs w:val="23"/>
          <w:highlight w:val="yellow"/>
        </w:rPr>
      </w:pPr>
    </w:p>
    <w:p w14:paraId="76673FAE" w14:textId="77777777" w:rsidR="00183434" w:rsidRDefault="00183434">
      <w:pPr>
        <w:rPr>
          <w:rFonts w:cs="Arial"/>
          <w:b/>
          <w:color w:val="000000" w:themeColor="text1"/>
          <w:sz w:val="23"/>
          <w:szCs w:val="23"/>
          <w:u w:val="single"/>
        </w:rPr>
      </w:pPr>
      <w:r>
        <w:rPr>
          <w:rFonts w:cs="Arial"/>
          <w:b/>
          <w:color w:val="000000" w:themeColor="text1"/>
          <w:sz w:val="23"/>
          <w:szCs w:val="23"/>
          <w:u w:val="single"/>
        </w:rPr>
        <w:br w:type="page"/>
      </w:r>
    </w:p>
    <w:p w14:paraId="6DE0D9EB" w14:textId="29C7F0A2" w:rsidR="00183434" w:rsidRPr="00183434" w:rsidRDefault="00183434" w:rsidP="00183434">
      <w:pPr>
        <w:jc w:val="both"/>
        <w:rPr>
          <w:rFonts w:cs="Arial"/>
          <w:b/>
          <w:color w:val="000000" w:themeColor="text1"/>
          <w:sz w:val="23"/>
          <w:szCs w:val="23"/>
          <w:u w:val="single"/>
        </w:rPr>
      </w:pPr>
      <w:r w:rsidRPr="00183434">
        <w:rPr>
          <w:rFonts w:cs="Arial"/>
          <w:b/>
          <w:color w:val="000000" w:themeColor="text1"/>
          <w:sz w:val="23"/>
          <w:szCs w:val="23"/>
          <w:u w:val="single"/>
        </w:rPr>
        <w:lastRenderedPageBreak/>
        <w:t>Housing Revenue Account</w:t>
      </w:r>
    </w:p>
    <w:p w14:paraId="66150F0B" w14:textId="77777777" w:rsidR="00183434" w:rsidRPr="00183434" w:rsidRDefault="00183434" w:rsidP="00183434">
      <w:pPr>
        <w:jc w:val="both"/>
        <w:rPr>
          <w:rFonts w:cs="Arial"/>
          <w:b/>
          <w:color w:val="FF0000"/>
          <w:sz w:val="23"/>
          <w:szCs w:val="23"/>
          <w:u w:val="single"/>
        </w:rPr>
      </w:pPr>
    </w:p>
    <w:p w14:paraId="50EF10CE" w14:textId="77777777" w:rsidR="00183434" w:rsidRPr="00183434" w:rsidRDefault="00183434" w:rsidP="00183434">
      <w:pPr>
        <w:jc w:val="both"/>
        <w:rPr>
          <w:rFonts w:cs="Arial"/>
          <w:color w:val="000000" w:themeColor="text1"/>
          <w:sz w:val="23"/>
          <w:szCs w:val="23"/>
        </w:rPr>
      </w:pPr>
      <w:r w:rsidRPr="00183434">
        <w:rPr>
          <w:rFonts w:cs="Arial"/>
          <w:color w:val="000000" w:themeColor="text1"/>
          <w:sz w:val="23"/>
          <w:szCs w:val="23"/>
        </w:rPr>
        <w:t xml:space="preserve">The financial strategy for the HRA is to deliver a balanced and sustainable budget which is self-financing in the longer term, and which reflects both the requirements of tenants and the strategic vision and priorities of the Council. The HRA is not permitted to run at an overall deficit, and a minimum balance should be maintained to avoid the risk of a negative balance in the event of an exceptional cost arising. </w:t>
      </w:r>
    </w:p>
    <w:p w14:paraId="7E6499AE" w14:textId="77777777" w:rsidR="00183434" w:rsidRPr="00183434" w:rsidRDefault="00183434" w:rsidP="00183434">
      <w:pPr>
        <w:jc w:val="both"/>
        <w:rPr>
          <w:rFonts w:cs="Arial"/>
          <w:color w:val="FF0000"/>
          <w:sz w:val="23"/>
          <w:szCs w:val="23"/>
          <w:highlight w:val="yellow"/>
        </w:rPr>
      </w:pPr>
    </w:p>
    <w:p w14:paraId="7468A929" w14:textId="77777777" w:rsidR="00183434" w:rsidRPr="00183434" w:rsidRDefault="00183434" w:rsidP="00183434">
      <w:pPr>
        <w:jc w:val="both"/>
        <w:rPr>
          <w:rFonts w:cs="Arial"/>
          <w:sz w:val="23"/>
          <w:szCs w:val="23"/>
        </w:rPr>
      </w:pPr>
      <w:r w:rsidRPr="00183434">
        <w:rPr>
          <w:rFonts w:cs="Arial"/>
          <w:sz w:val="23"/>
          <w:szCs w:val="23"/>
        </w:rPr>
        <w:t xml:space="preserve">The HRA balance at the end of 2026/27 was projected to fall to £2.7m, below the minimum working balance of £3.7m. This projected situation has arisen </w:t>
      </w:r>
      <w:proofErr w:type="gramStart"/>
      <w:r w:rsidRPr="00183434">
        <w:rPr>
          <w:rFonts w:cs="Arial"/>
          <w:sz w:val="23"/>
          <w:szCs w:val="23"/>
        </w:rPr>
        <w:t>as a result of</w:t>
      </w:r>
      <w:proofErr w:type="gramEnd"/>
      <w:r w:rsidRPr="00183434">
        <w:rPr>
          <w:rFonts w:cs="Arial"/>
          <w:sz w:val="23"/>
          <w:szCs w:val="23"/>
        </w:rPr>
        <w:t xml:space="preserve"> ongoing financial pressures, particularly in relation to rising maintenance costs, voids, disrepair claims, and capital investment plans. However, in subsequent years, the financial position improves significantly, due to increased rental income and reduced staff costs resulting from the ongoing financial impact of the revised terms and conditions. </w:t>
      </w:r>
    </w:p>
    <w:p w14:paraId="6E2E7AF5" w14:textId="77777777" w:rsidR="00183434" w:rsidRPr="00183434" w:rsidRDefault="00183434" w:rsidP="00183434">
      <w:pPr>
        <w:jc w:val="both"/>
        <w:rPr>
          <w:rFonts w:cs="Arial"/>
          <w:sz w:val="23"/>
          <w:szCs w:val="23"/>
        </w:rPr>
      </w:pPr>
    </w:p>
    <w:p w14:paraId="08300CF5" w14:textId="77777777" w:rsidR="00183434" w:rsidRPr="00183434" w:rsidRDefault="00183434" w:rsidP="00183434">
      <w:pPr>
        <w:jc w:val="both"/>
        <w:rPr>
          <w:rFonts w:cs="Arial"/>
          <w:sz w:val="23"/>
          <w:szCs w:val="23"/>
          <w:highlight w:val="yellow"/>
        </w:rPr>
      </w:pPr>
      <w:r w:rsidRPr="00183434">
        <w:rPr>
          <w:rFonts w:cs="Arial"/>
          <w:sz w:val="23"/>
          <w:szCs w:val="23"/>
        </w:rPr>
        <w:t>The HRA business plan is generally positive following its first year of operation and, based on current assumptions, remains financially viable over the full 30-year planning period. The plan demonstrates that the Council can continue to meet its statutory obligations, maintain its housing stock, and support ongoing investment in services for tenants.</w:t>
      </w:r>
    </w:p>
    <w:p w14:paraId="366DC189" w14:textId="77777777" w:rsidR="00183434" w:rsidRPr="00183434" w:rsidRDefault="00183434" w:rsidP="00183434">
      <w:pPr>
        <w:jc w:val="both"/>
        <w:rPr>
          <w:rFonts w:cs="Arial"/>
          <w:sz w:val="23"/>
          <w:szCs w:val="23"/>
          <w:highlight w:val="cyan"/>
        </w:rPr>
      </w:pPr>
    </w:p>
    <w:p w14:paraId="2BA676E4" w14:textId="77777777" w:rsidR="00183434" w:rsidRPr="00183434" w:rsidRDefault="00183434" w:rsidP="00183434">
      <w:pPr>
        <w:jc w:val="both"/>
        <w:rPr>
          <w:rFonts w:cs="Arial"/>
          <w:b/>
          <w:sz w:val="23"/>
          <w:szCs w:val="23"/>
          <w:u w:val="single"/>
        </w:rPr>
      </w:pPr>
      <w:r w:rsidRPr="00183434">
        <w:rPr>
          <w:rFonts w:cs="Arial"/>
          <w:b/>
          <w:sz w:val="23"/>
          <w:szCs w:val="23"/>
          <w:u w:val="single"/>
        </w:rPr>
        <w:t>Corporate Risks and Uncertainties</w:t>
      </w:r>
    </w:p>
    <w:p w14:paraId="2C2BE5AA" w14:textId="77777777" w:rsidR="00183434" w:rsidRPr="00183434" w:rsidRDefault="00183434" w:rsidP="00183434">
      <w:pPr>
        <w:jc w:val="both"/>
        <w:rPr>
          <w:rFonts w:cs="Arial"/>
          <w:sz w:val="23"/>
          <w:szCs w:val="23"/>
        </w:rPr>
      </w:pPr>
    </w:p>
    <w:p w14:paraId="2B16869F" w14:textId="77777777" w:rsidR="00183434" w:rsidRPr="00183434" w:rsidRDefault="00183434" w:rsidP="00183434">
      <w:pPr>
        <w:jc w:val="both"/>
        <w:rPr>
          <w:rFonts w:cs="Arial"/>
          <w:sz w:val="23"/>
          <w:szCs w:val="23"/>
        </w:rPr>
      </w:pPr>
      <w:r w:rsidRPr="00183434">
        <w:rPr>
          <w:rFonts w:cs="Arial"/>
          <w:sz w:val="23"/>
          <w:szCs w:val="23"/>
        </w:rPr>
        <w:t>The Council has established procedures for managing risk. Operation level risks are managed at the service level through the service planning and monitoring arrangements.</w:t>
      </w:r>
    </w:p>
    <w:p w14:paraId="1A374FC4" w14:textId="77777777" w:rsidR="00183434" w:rsidRPr="00183434" w:rsidRDefault="00183434" w:rsidP="00183434">
      <w:pPr>
        <w:jc w:val="both"/>
        <w:rPr>
          <w:rFonts w:cs="Arial"/>
          <w:sz w:val="23"/>
          <w:szCs w:val="23"/>
        </w:rPr>
      </w:pPr>
    </w:p>
    <w:p w14:paraId="56FBC90D" w14:textId="77777777" w:rsidR="00183434" w:rsidRPr="00183434" w:rsidRDefault="00183434" w:rsidP="00183434">
      <w:pPr>
        <w:jc w:val="both"/>
        <w:rPr>
          <w:rFonts w:cs="Arial"/>
          <w:sz w:val="23"/>
          <w:szCs w:val="23"/>
        </w:rPr>
      </w:pPr>
      <w:r w:rsidRPr="00183434">
        <w:rPr>
          <w:rFonts w:cs="Arial"/>
          <w:sz w:val="23"/>
          <w:szCs w:val="23"/>
        </w:rPr>
        <w:t xml:space="preserve">The higher level, corporate risks, which can impact on the Council’s ability to deliver its strategic priorities, are managed through the Corporate Risk Register arrangements. The Corporate Risk Register is approved and monitored at the highest levels within the Council, by the Corporate Leadership Team, the Cabinet, Standards &amp; Audit Committee, and the Full Council. </w:t>
      </w:r>
    </w:p>
    <w:p w14:paraId="145CD011" w14:textId="77777777" w:rsidR="00183434" w:rsidRPr="00183434" w:rsidRDefault="00183434" w:rsidP="00183434">
      <w:pPr>
        <w:jc w:val="both"/>
        <w:rPr>
          <w:rFonts w:cs="Arial"/>
          <w:sz w:val="23"/>
          <w:szCs w:val="23"/>
        </w:rPr>
      </w:pPr>
    </w:p>
    <w:p w14:paraId="47A6D592" w14:textId="77777777" w:rsidR="00183434" w:rsidRPr="00183434" w:rsidRDefault="00183434" w:rsidP="00183434">
      <w:pPr>
        <w:jc w:val="both"/>
        <w:rPr>
          <w:rFonts w:cs="Arial"/>
          <w:b/>
          <w:sz w:val="23"/>
          <w:szCs w:val="23"/>
          <w:u w:val="single"/>
        </w:rPr>
      </w:pPr>
      <w:r w:rsidRPr="00183434">
        <w:rPr>
          <w:rFonts w:cs="Arial"/>
          <w:b/>
          <w:sz w:val="23"/>
          <w:szCs w:val="23"/>
          <w:u w:val="single"/>
        </w:rPr>
        <w:t>Further Information</w:t>
      </w:r>
    </w:p>
    <w:p w14:paraId="665C211F" w14:textId="77777777" w:rsidR="00183434" w:rsidRPr="00183434" w:rsidRDefault="00183434" w:rsidP="00183434">
      <w:pPr>
        <w:jc w:val="both"/>
        <w:rPr>
          <w:rFonts w:cs="Arial"/>
          <w:sz w:val="23"/>
          <w:szCs w:val="23"/>
        </w:rPr>
      </w:pPr>
    </w:p>
    <w:p w14:paraId="776F8F5B" w14:textId="77777777" w:rsidR="00183434" w:rsidRPr="00183434" w:rsidRDefault="00183434" w:rsidP="00183434">
      <w:pPr>
        <w:jc w:val="both"/>
        <w:rPr>
          <w:rFonts w:cs="Arial"/>
          <w:sz w:val="23"/>
          <w:szCs w:val="23"/>
        </w:rPr>
      </w:pPr>
      <w:r w:rsidRPr="00183434">
        <w:rPr>
          <w:rFonts w:cs="Arial"/>
          <w:sz w:val="23"/>
          <w:szCs w:val="23"/>
        </w:rPr>
        <w:t>If you would like to receive further information about these accounts, please contact the Head of Accountancy &amp; Finance at the Town Hall, Rose Hill, Chesterfield, Derbyshire, S40 1LP. Interested members of the public have a statutory right to inspect the accounts. The dates on which the accounts are available for inspection are advertised annually on the Council’s website.</w:t>
      </w:r>
    </w:p>
    <w:p w14:paraId="0DDB81E2" w14:textId="77777777" w:rsidR="00183434" w:rsidRPr="00183434" w:rsidRDefault="00183434" w:rsidP="00183434">
      <w:pPr>
        <w:jc w:val="both"/>
        <w:rPr>
          <w:rFonts w:cs="Arial"/>
          <w:sz w:val="23"/>
          <w:szCs w:val="23"/>
        </w:rPr>
      </w:pPr>
    </w:p>
    <w:p w14:paraId="39127D44" w14:textId="77777777" w:rsidR="00183434" w:rsidRPr="00183434" w:rsidRDefault="00183434" w:rsidP="00183434">
      <w:pPr>
        <w:jc w:val="both"/>
        <w:rPr>
          <w:rFonts w:cs="Arial"/>
          <w:sz w:val="23"/>
          <w:szCs w:val="23"/>
        </w:rPr>
      </w:pPr>
      <w:r w:rsidRPr="00183434">
        <w:rPr>
          <w:rFonts w:cs="Arial"/>
          <w:sz w:val="23"/>
          <w:szCs w:val="23"/>
        </w:rPr>
        <w:t>Further information on non-financial performance data is available from the Service Director - Corporate.</w:t>
      </w:r>
    </w:p>
    <w:p w14:paraId="155C5C18" w14:textId="77777777" w:rsidR="00183434" w:rsidRPr="00183434" w:rsidRDefault="00183434" w:rsidP="00183434">
      <w:pPr>
        <w:jc w:val="both"/>
        <w:rPr>
          <w:rFonts w:cs="Arial"/>
          <w:sz w:val="23"/>
          <w:szCs w:val="23"/>
          <w:highlight w:val="cyan"/>
        </w:rPr>
      </w:pPr>
    </w:p>
    <w:p w14:paraId="1345B5A6" w14:textId="77777777" w:rsidR="00183434" w:rsidRPr="00183434" w:rsidRDefault="00183434" w:rsidP="00183434">
      <w:pPr>
        <w:jc w:val="both"/>
        <w:rPr>
          <w:rFonts w:cs="Arial"/>
          <w:sz w:val="23"/>
          <w:szCs w:val="23"/>
          <w:highlight w:val="cyan"/>
        </w:rPr>
      </w:pPr>
    </w:p>
    <w:p w14:paraId="74566C3B" w14:textId="77777777" w:rsidR="00183434" w:rsidRPr="00183434" w:rsidRDefault="00183434" w:rsidP="00183434">
      <w:pPr>
        <w:jc w:val="center"/>
        <w:rPr>
          <w:rFonts w:cs="Arial"/>
          <w:sz w:val="23"/>
          <w:szCs w:val="23"/>
          <w:highlight w:val="cyan"/>
        </w:rPr>
      </w:pPr>
    </w:p>
    <w:p w14:paraId="328305DA" w14:textId="77777777" w:rsidR="00183434" w:rsidRPr="00183434" w:rsidRDefault="00183434" w:rsidP="00183434">
      <w:pPr>
        <w:jc w:val="center"/>
        <w:rPr>
          <w:rFonts w:cs="Arial"/>
          <w:b/>
          <w:sz w:val="23"/>
          <w:szCs w:val="23"/>
        </w:rPr>
      </w:pPr>
      <w:r w:rsidRPr="00183434">
        <w:rPr>
          <w:rFonts w:cs="Arial"/>
          <w:b/>
          <w:sz w:val="23"/>
          <w:szCs w:val="23"/>
        </w:rPr>
        <w:t>T Channell FCPFA</w:t>
      </w:r>
    </w:p>
    <w:p w14:paraId="67843DC1" w14:textId="77777777" w:rsidR="00183434" w:rsidRPr="00183434" w:rsidRDefault="00183434" w:rsidP="00183434">
      <w:pPr>
        <w:jc w:val="center"/>
        <w:rPr>
          <w:rFonts w:cs="Arial"/>
          <w:b/>
          <w:sz w:val="23"/>
          <w:szCs w:val="23"/>
        </w:rPr>
      </w:pPr>
      <w:r w:rsidRPr="00183434">
        <w:rPr>
          <w:rFonts w:cs="Arial"/>
          <w:b/>
          <w:sz w:val="23"/>
          <w:szCs w:val="23"/>
        </w:rPr>
        <w:t>DIRECTOR OF FINANCE</w:t>
      </w:r>
    </w:p>
    <w:p w14:paraId="574212D8" w14:textId="1C3FA3C5" w:rsidR="00183434" w:rsidRPr="00183434" w:rsidRDefault="00183434" w:rsidP="00183434">
      <w:pPr>
        <w:jc w:val="center"/>
        <w:rPr>
          <w:rFonts w:cs="Arial"/>
          <w:sz w:val="23"/>
          <w:szCs w:val="23"/>
        </w:rPr>
      </w:pPr>
    </w:p>
    <w:p w14:paraId="1CD9BA5E" w14:textId="77777777" w:rsidR="00183434" w:rsidRPr="00183434" w:rsidRDefault="00183434" w:rsidP="00183434">
      <w:pPr>
        <w:jc w:val="center"/>
        <w:rPr>
          <w:rFonts w:cs="Arial"/>
          <w:sz w:val="23"/>
          <w:szCs w:val="23"/>
        </w:rPr>
      </w:pPr>
    </w:p>
    <w:p w14:paraId="67CF7014" w14:textId="77777777" w:rsidR="00183434" w:rsidRPr="00183434" w:rsidRDefault="00183434" w:rsidP="00183434">
      <w:pPr>
        <w:jc w:val="center"/>
        <w:rPr>
          <w:rFonts w:cs="Arial"/>
          <w:sz w:val="23"/>
          <w:szCs w:val="23"/>
        </w:rPr>
      </w:pPr>
    </w:p>
    <w:p w14:paraId="1C0B977E" w14:textId="507A8CD0" w:rsidR="00183434" w:rsidRPr="00183434" w:rsidRDefault="00183434" w:rsidP="00183434">
      <w:pPr>
        <w:jc w:val="center"/>
        <w:rPr>
          <w:rFonts w:cs="Arial"/>
          <w:sz w:val="23"/>
          <w:szCs w:val="23"/>
        </w:rPr>
      </w:pPr>
    </w:p>
    <w:p w14:paraId="03BF89A7" w14:textId="77777777" w:rsidR="00183434" w:rsidRPr="00183434" w:rsidRDefault="00183434" w:rsidP="00183434">
      <w:pPr>
        <w:jc w:val="center"/>
        <w:rPr>
          <w:rFonts w:cs="Arial"/>
          <w:b/>
          <w:sz w:val="23"/>
          <w:szCs w:val="23"/>
        </w:rPr>
      </w:pPr>
      <w:r w:rsidRPr="00183434">
        <w:rPr>
          <w:rFonts w:cs="Arial"/>
          <w:b/>
          <w:sz w:val="23"/>
          <w:szCs w:val="23"/>
        </w:rPr>
        <w:t>Councillor S Blank</w:t>
      </w:r>
    </w:p>
    <w:p w14:paraId="66108D14" w14:textId="77777777" w:rsidR="00183434" w:rsidRPr="00183434" w:rsidRDefault="00183434" w:rsidP="00183434">
      <w:pPr>
        <w:jc w:val="center"/>
        <w:rPr>
          <w:rFonts w:cs="Arial"/>
          <w:b/>
          <w:sz w:val="23"/>
          <w:szCs w:val="23"/>
        </w:rPr>
      </w:pPr>
      <w:r w:rsidRPr="00183434">
        <w:rPr>
          <w:rFonts w:cs="Arial"/>
          <w:b/>
          <w:sz w:val="23"/>
          <w:szCs w:val="23"/>
        </w:rPr>
        <w:t>CHAIR OF STANDARDS AND AUDIT COMMITTEE</w:t>
      </w:r>
    </w:p>
    <w:p w14:paraId="0BAEA733" w14:textId="77777777" w:rsidR="00C4696A" w:rsidRPr="00183434" w:rsidRDefault="00C4696A" w:rsidP="00183434">
      <w:pPr>
        <w:jc w:val="both"/>
        <w:rPr>
          <w:rFonts w:cs="Arial"/>
          <w:b/>
          <w:sz w:val="23"/>
          <w:szCs w:val="23"/>
          <w:highlight w:val="cyan"/>
        </w:rPr>
      </w:pPr>
    </w:p>
    <w:p w14:paraId="46511210" w14:textId="77777777" w:rsidR="00C4696A" w:rsidRPr="00183434" w:rsidRDefault="00C4696A" w:rsidP="00183434">
      <w:pPr>
        <w:jc w:val="both"/>
        <w:rPr>
          <w:rFonts w:cs="Arial"/>
          <w:b/>
          <w:sz w:val="23"/>
          <w:szCs w:val="23"/>
          <w:highlight w:val="cyan"/>
        </w:rPr>
      </w:pPr>
    </w:p>
    <w:p w14:paraId="2F2ED50B" w14:textId="77777777" w:rsidR="00C4696A" w:rsidRPr="00183434" w:rsidRDefault="00C4696A" w:rsidP="00183434">
      <w:pPr>
        <w:jc w:val="both"/>
        <w:rPr>
          <w:rFonts w:cs="Arial"/>
          <w:b/>
          <w:sz w:val="23"/>
          <w:szCs w:val="23"/>
          <w:highlight w:val="cyan"/>
        </w:rPr>
      </w:pPr>
    </w:p>
    <w:p w14:paraId="20814E54" w14:textId="77777777" w:rsidR="00CE12A2" w:rsidRPr="00183434" w:rsidRDefault="00CE12A2" w:rsidP="00183434">
      <w:pPr>
        <w:jc w:val="both"/>
        <w:rPr>
          <w:rFonts w:cs="Arial"/>
          <w:b/>
          <w:sz w:val="23"/>
          <w:szCs w:val="23"/>
          <w:highlight w:val="cyan"/>
          <w:u w:val="single"/>
        </w:rPr>
      </w:pPr>
      <w:r w:rsidRPr="00183434">
        <w:rPr>
          <w:rFonts w:cs="Arial"/>
          <w:b/>
          <w:sz w:val="23"/>
          <w:szCs w:val="23"/>
          <w:highlight w:val="cyan"/>
          <w:u w:val="single"/>
        </w:rPr>
        <w:br w:type="page"/>
      </w:r>
    </w:p>
    <w:p w14:paraId="63E46D3F" w14:textId="5CDCDFC4" w:rsidR="00386757" w:rsidRPr="00183434" w:rsidRDefault="007857B3" w:rsidP="00183434">
      <w:pPr>
        <w:jc w:val="both"/>
        <w:rPr>
          <w:rFonts w:cs="Arial"/>
          <w:b/>
          <w:sz w:val="23"/>
          <w:szCs w:val="23"/>
          <w:u w:val="single"/>
        </w:rPr>
      </w:pPr>
      <w:r w:rsidRPr="00183434">
        <w:rPr>
          <w:rFonts w:cs="Arial"/>
          <w:b/>
          <w:sz w:val="23"/>
          <w:szCs w:val="23"/>
          <w:u w:val="single"/>
        </w:rPr>
        <w:lastRenderedPageBreak/>
        <w:t>INTRODUCTION TO THE STATEMENTS</w:t>
      </w:r>
    </w:p>
    <w:p w14:paraId="4D3FEA78" w14:textId="77777777" w:rsidR="007857B3" w:rsidRPr="00183434" w:rsidRDefault="007857B3" w:rsidP="00183434">
      <w:pPr>
        <w:jc w:val="both"/>
        <w:rPr>
          <w:rFonts w:cs="Arial"/>
          <w:sz w:val="23"/>
          <w:szCs w:val="23"/>
          <w:highlight w:val="cyan"/>
        </w:rPr>
      </w:pPr>
    </w:p>
    <w:p w14:paraId="2812DC9B" w14:textId="77777777" w:rsidR="007857B3" w:rsidRPr="00183434" w:rsidRDefault="007857B3" w:rsidP="00183434">
      <w:pPr>
        <w:jc w:val="both"/>
        <w:rPr>
          <w:rFonts w:cs="Arial"/>
          <w:sz w:val="23"/>
          <w:szCs w:val="23"/>
          <w:highlight w:val="cyan"/>
        </w:rPr>
      </w:pPr>
    </w:p>
    <w:p w14:paraId="76A5E612" w14:textId="2894C448" w:rsidR="007857B3" w:rsidRPr="00183434" w:rsidRDefault="007857B3" w:rsidP="00183434">
      <w:pPr>
        <w:jc w:val="both"/>
        <w:rPr>
          <w:rFonts w:cs="Arial"/>
          <w:sz w:val="23"/>
          <w:szCs w:val="23"/>
        </w:rPr>
      </w:pPr>
      <w:r w:rsidRPr="00183434">
        <w:rPr>
          <w:rFonts w:cs="Arial"/>
          <w:sz w:val="23"/>
          <w:szCs w:val="23"/>
        </w:rPr>
        <w:t>The Statement of Accounts is prepared using the Code of Practice on Local Authority Accounting in the United Kingdom (the Code), which defines proper accounting practices for local authorities in England. The pages that follow are the C</w:t>
      </w:r>
      <w:r w:rsidR="00ED7719" w:rsidRPr="00183434">
        <w:rPr>
          <w:rFonts w:cs="Arial"/>
          <w:sz w:val="23"/>
          <w:szCs w:val="23"/>
        </w:rPr>
        <w:t>ouncil’s final accounts for 20</w:t>
      </w:r>
      <w:r w:rsidR="00BE73E2" w:rsidRPr="00183434">
        <w:rPr>
          <w:rFonts w:cs="Arial"/>
          <w:sz w:val="23"/>
          <w:szCs w:val="23"/>
        </w:rPr>
        <w:t>2</w:t>
      </w:r>
      <w:r w:rsidR="006A5BF3" w:rsidRPr="00183434">
        <w:rPr>
          <w:rFonts w:cs="Arial"/>
          <w:sz w:val="23"/>
          <w:szCs w:val="23"/>
        </w:rPr>
        <w:t>5</w:t>
      </w:r>
      <w:r w:rsidR="00ED7719" w:rsidRPr="00183434">
        <w:rPr>
          <w:rFonts w:cs="Arial"/>
          <w:sz w:val="23"/>
          <w:szCs w:val="23"/>
        </w:rPr>
        <w:t>/</w:t>
      </w:r>
      <w:r w:rsidR="00F06BBF" w:rsidRPr="00183434">
        <w:rPr>
          <w:rFonts w:cs="Arial"/>
          <w:sz w:val="23"/>
          <w:szCs w:val="23"/>
        </w:rPr>
        <w:t>2</w:t>
      </w:r>
      <w:r w:rsidR="006A5BF3" w:rsidRPr="00183434">
        <w:rPr>
          <w:rFonts w:cs="Arial"/>
          <w:sz w:val="23"/>
          <w:szCs w:val="23"/>
        </w:rPr>
        <w:t>6</w:t>
      </w:r>
      <w:r w:rsidRPr="00183434">
        <w:rPr>
          <w:rFonts w:cs="Arial"/>
          <w:sz w:val="23"/>
          <w:szCs w:val="23"/>
        </w:rPr>
        <w:t xml:space="preserve"> and comprise:</w:t>
      </w:r>
    </w:p>
    <w:p w14:paraId="5578307B" w14:textId="77777777" w:rsidR="00386757" w:rsidRPr="00183434" w:rsidRDefault="00386757" w:rsidP="00183434">
      <w:pPr>
        <w:jc w:val="both"/>
        <w:rPr>
          <w:rFonts w:cs="Arial"/>
          <w:sz w:val="23"/>
          <w:szCs w:val="23"/>
        </w:rPr>
      </w:pPr>
    </w:p>
    <w:p w14:paraId="7EE8C6E8" w14:textId="77777777" w:rsidR="001367AF" w:rsidRPr="00183434" w:rsidRDefault="001367AF" w:rsidP="00183434">
      <w:pPr>
        <w:jc w:val="both"/>
        <w:rPr>
          <w:rFonts w:cs="Arial"/>
          <w:sz w:val="23"/>
          <w:szCs w:val="23"/>
        </w:rPr>
      </w:pPr>
      <w:r w:rsidRPr="00183434">
        <w:rPr>
          <w:rFonts w:cs="Arial"/>
          <w:b/>
          <w:sz w:val="23"/>
          <w:szCs w:val="23"/>
        </w:rPr>
        <w:t>Comprehensive Income &amp; Expenditure Statement</w:t>
      </w:r>
      <w:r w:rsidRPr="00183434">
        <w:rPr>
          <w:rFonts w:cs="Arial"/>
          <w:sz w:val="23"/>
          <w:szCs w:val="23"/>
        </w:rPr>
        <w:t xml:space="preserve"> (CIES) – This reports the cost for the year of providing the services for which the Council is responsible rather than the amount to be funded from taxation. The taxation position is shown in the Movement in Reserves Statement.</w:t>
      </w:r>
    </w:p>
    <w:p w14:paraId="4323A585" w14:textId="77777777" w:rsidR="001367AF" w:rsidRPr="00183434" w:rsidRDefault="001367AF" w:rsidP="00183434">
      <w:pPr>
        <w:jc w:val="both"/>
        <w:rPr>
          <w:rFonts w:cs="Arial"/>
          <w:sz w:val="23"/>
          <w:szCs w:val="23"/>
        </w:rPr>
      </w:pPr>
    </w:p>
    <w:p w14:paraId="4991C73E" w14:textId="77777777" w:rsidR="007857B3" w:rsidRPr="00183434" w:rsidRDefault="007857B3" w:rsidP="00183434">
      <w:pPr>
        <w:jc w:val="both"/>
        <w:rPr>
          <w:rFonts w:cs="Arial"/>
          <w:sz w:val="23"/>
          <w:szCs w:val="23"/>
        </w:rPr>
      </w:pPr>
      <w:r w:rsidRPr="00183434">
        <w:rPr>
          <w:rFonts w:cs="Arial"/>
          <w:b/>
          <w:sz w:val="23"/>
          <w:szCs w:val="23"/>
        </w:rPr>
        <w:t xml:space="preserve">Movement in Reserves Statement </w:t>
      </w:r>
      <w:r w:rsidRPr="00183434">
        <w:rPr>
          <w:rFonts w:cs="Arial"/>
          <w:sz w:val="23"/>
          <w:szCs w:val="23"/>
        </w:rPr>
        <w:t>(MIRS)</w:t>
      </w:r>
      <w:r w:rsidRPr="00183434">
        <w:rPr>
          <w:rFonts w:cs="Arial"/>
          <w:b/>
          <w:sz w:val="23"/>
          <w:szCs w:val="23"/>
        </w:rPr>
        <w:t xml:space="preserve"> </w:t>
      </w:r>
      <w:r w:rsidRPr="00183434">
        <w:rPr>
          <w:rFonts w:cs="Arial"/>
          <w:sz w:val="23"/>
          <w:szCs w:val="23"/>
        </w:rPr>
        <w:t>– provides a summary of the changes that have taken place in the ‘reserves’ section of the Balance Sheet over the financial year as a result of incurring expenditure and generating income, movements in the fair value of assets and movements in reserves that will affect the availability of resources to the authority.</w:t>
      </w:r>
    </w:p>
    <w:p w14:paraId="78956CE3" w14:textId="77777777" w:rsidR="007857B3" w:rsidRPr="00183434" w:rsidRDefault="007857B3" w:rsidP="00183434">
      <w:pPr>
        <w:jc w:val="both"/>
        <w:rPr>
          <w:rFonts w:cs="Arial"/>
          <w:sz w:val="23"/>
          <w:szCs w:val="23"/>
        </w:rPr>
      </w:pPr>
    </w:p>
    <w:p w14:paraId="177F38BA" w14:textId="77777777" w:rsidR="007857B3" w:rsidRPr="00183434" w:rsidRDefault="007857B3" w:rsidP="00183434">
      <w:pPr>
        <w:jc w:val="both"/>
        <w:rPr>
          <w:rFonts w:cs="Arial"/>
          <w:sz w:val="23"/>
          <w:szCs w:val="23"/>
        </w:rPr>
      </w:pPr>
      <w:r w:rsidRPr="00183434">
        <w:rPr>
          <w:rFonts w:cs="Arial"/>
          <w:b/>
          <w:sz w:val="23"/>
          <w:szCs w:val="23"/>
        </w:rPr>
        <w:t>Balance Sheet</w:t>
      </w:r>
      <w:r w:rsidRPr="00183434">
        <w:rPr>
          <w:rFonts w:cs="Arial"/>
          <w:sz w:val="23"/>
          <w:szCs w:val="23"/>
        </w:rPr>
        <w:t xml:space="preserve"> – This explains the Council’s year-end financial position.  It shows the balances and reserves at the Council’s disposal and its </w:t>
      </w:r>
      <w:proofErr w:type="gramStart"/>
      <w:r w:rsidRPr="00183434">
        <w:rPr>
          <w:rFonts w:cs="Arial"/>
          <w:sz w:val="23"/>
          <w:szCs w:val="23"/>
        </w:rPr>
        <w:t>long term</w:t>
      </w:r>
      <w:proofErr w:type="gramEnd"/>
      <w:r w:rsidRPr="00183434">
        <w:rPr>
          <w:rFonts w:cs="Arial"/>
          <w:sz w:val="23"/>
          <w:szCs w:val="23"/>
        </w:rPr>
        <w:t xml:space="preserve"> indebtedness, the net current assets employed in its operations, and summarised information on the non-current assets held.</w:t>
      </w:r>
    </w:p>
    <w:p w14:paraId="06AFFF95" w14:textId="77777777" w:rsidR="007857B3" w:rsidRPr="00183434" w:rsidRDefault="007857B3" w:rsidP="00183434">
      <w:pPr>
        <w:jc w:val="both"/>
        <w:rPr>
          <w:rFonts w:cs="Arial"/>
          <w:sz w:val="23"/>
          <w:szCs w:val="23"/>
        </w:rPr>
      </w:pPr>
    </w:p>
    <w:p w14:paraId="28EC9999" w14:textId="77777777" w:rsidR="007857B3" w:rsidRPr="00183434" w:rsidRDefault="007857B3" w:rsidP="00183434">
      <w:pPr>
        <w:jc w:val="both"/>
        <w:rPr>
          <w:rFonts w:cs="Arial"/>
          <w:sz w:val="23"/>
          <w:szCs w:val="23"/>
        </w:rPr>
      </w:pPr>
      <w:r w:rsidRPr="00183434">
        <w:rPr>
          <w:rFonts w:cs="Arial"/>
          <w:b/>
          <w:sz w:val="23"/>
          <w:szCs w:val="23"/>
        </w:rPr>
        <w:t>Cash Flow Statement</w:t>
      </w:r>
      <w:r w:rsidRPr="00183434">
        <w:rPr>
          <w:rFonts w:cs="Arial"/>
          <w:sz w:val="23"/>
          <w:szCs w:val="23"/>
        </w:rPr>
        <w:t xml:space="preserve"> – This summarises the inflows and outflows of cash arising from both revenue and capital transactions with third parties.</w:t>
      </w:r>
    </w:p>
    <w:p w14:paraId="17CD4B57" w14:textId="77777777" w:rsidR="007857B3" w:rsidRPr="00183434" w:rsidRDefault="007857B3" w:rsidP="00183434">
      <w:pPr>
        <w:jc w:val="both"/>
        <w:rPr>
          <w:rFonts w:cs="Arial"/>
          <w:sz w:val="23"/>
          <w:szCs w:val="23"/>
        </w:rPr>
      </w:pPr>
    </w:p>
    <w:p w14:paraId="39D00A65" w14:textId="77777777" w:rsidR="007857B3" w:rsidRPr="00183434" w:rsidRDefault="007857B3" w:rsidP="00183434">
      <w:pPr>
        <w:jc w:val="both"/>
        <w:rPr>
          <w:rFonts w:cs="Arial"/>
          <w:sz w:val="23"/>
          <w:szCs w:val="23"/>
        </w:rPr>
      </w:pPr>
      <w:r w:rsidRPr="00183434">
        <w:rPr>
          <w:rFonts w:cs="Arial"/>
          <w:b/>
          <w:sz w:val="23"/>
          <w:szCs w:val="23"/>
        </w:rPr>
        <w:t>Statement of Accounting Policies</w:t>
      </w:r>
      <w:r w:rsidRPr="00183434">
        <w:rPr>
          <w:rFonts w:cs="Arial"/>
          <w:sz w:val="23"/>
          <w:szCs w:val="23"/>
        </w:rPr>
        <w:t xml:space="preserve"> – This explains the basis of the figures in the accounts.  The accounts can be properly appreciated only if the policies, which have been followed in dealing with material items are explained. </w:t>
      </w:r>
    </w:p>
    <w:p w14:paraId="7D2B8A99" w14:textId="77777777" w:rsidR="003F21BE" w:rsidRPr="00183434" w:rsidRDefault="003F21BE" w:rsidP="00183434">
      <w:pPr>
        <w:jc w:val="both"/>
        <w:rPr>
          <w:rFonts w:cs="Arial"/>
          <w:sz w:val="23"/>
          <w:szCs w:val="23"/>
        </w:rPr>
      </w:pPr>
    </w:p>
    <w:p w14:paraId="0A70FB7B" w14:textId="77777777" w:rsidR="003F21BE" w:rsidRPr="00183434" w:rsidRDefault="003F21BE" w:rsidP="00183434">
      <w:pPr>
        <w:jc w:val="both"/>
        <w:rPr>
          <w:rFonts w:cs="Arial"/>
          <w:sz w:val="23"/>
          <w:szCs w:val="23"/>
        </w:rPr>
      </w:pPr>
      <w:r w:rsidRPr="00183434">
        <w:rPr>
          <w:rFonts w:cs="Arial"/>
          <w:b/>
          <w:sz w:val="23"/>
          <w:szCs w:val="23"/>
        </w:rPr>
        <w:t>Expenditure &amp; Funding Analysis</w:t>
      </w:r>
      <w:r w:rsidRPr="00183434">
        <w:rPr>
          <w:rFonts w:cs="Arial"/>
          <w:sz w:val="23"/>
          <w:szCs w:val="23"/>
        </w:rPr>
        <w:t xml:space="preserve"> (EFA) – shows how annual expenditure is spent and funded and how it is split for decision making purposes between the council’s portfolios.</w:t>
      </w:r>
    </w:p>
    <w:p w14:paraId="2B6C66BE" w14:textId="77777777" w:rsidR="007857B3" w:rsidRPr="00183434" w:rsidRDefault="007857B3" w:rsidP="00183434">
      <w:pPr>
        <w:jc w:val="both"/>
        <w:rPr>
          <w:rFonts w:cs="Arial"/>
          <w:sz w:val="23"/>
          <w:szCs w:val="23"/>
        </w:rPr>
      </w:pPr>
    </w:p>
    <w:p w14:paraId="78AE3E51" w14:textId="77777777" w:rsidR="007857B3" w:rsidRPr="00183434" w:rsidRDefault="007857B3" w:rsidP="00183434">
      <w:pPr>
        <w:jc w:val="both"/>
        <w:rPr>
          <w:rFonts w:cs="Arial"/>
          <w:sz w:val="23"/>
          <w:szCs w:val="23"/>
        </w:rPr>
      </w:pPr>
      <w:r w:rsidRPr="00183434">
        <w:rPr>
          <w:rFonts w:cs="Arial"/>
          <w:b/>
          <w:sz w:val="23"/>
          <w:szCs w:val="23"/>
        </w:rPr>
        <w:t>Housing Revenue Account</w:t>
      </w:r>
      <w:r w:rsidRPr="00183434">
        <w:rPr>
          <w:rFonts w:cs="Arial"/>
          <w:sz w:val="23"/>
          <w:szCs w:val="23"/>
        </w:rPr>
        <w:t xml:space="preserve"> </w:t>
      </w:r>
      <w:r w:rsidRPr="00183434">
        <w:rPr>
          <w:rFonts w:cs="Arial"/>
          <w:bCs/>
          <w:sz w:val="23"/>
          <w:szCs w:val="23"/>
        </w:rPr>
        <w:t>(HRA)</w:t>
      </w:r>
      <w:r w:rsidRPr="00183434">
        <w:rPr>
          <w:rFonts w:cs="Arial"/>
          <w:b/>
          <w:sz w:val="23"/>
          <w:szCs w:val="23"/>
        </w:rPr>
        <w:t xml:space="preserve"> </w:t>
      </w:r>
      <w:r w:rsidRPr="00183434">
        <w:rPr>
          <w:rFonts w:cs="Arial"/>
          <w:sz w:val="23"/>
          <w:szCs w:val="23"/>
        </w:rPr>
        <w:t>– This reflects a statutory obligation to account separately for local authority housing provision.  It shows the major elements of housing revenue expenditure – maintenance, administration and capital financing costs – and how these are met by rents and other income.</w:t>
      </w:r>
    </w:p>
    <w:p w14:paraId="4F99AB93" w14:textId="77777777" w:rsidR="007857B3" w:rsidRPr="00183434" w:rsidRDefault="007857B3" w:rsidP="00183434">
      <w:pPr>
        <w:jc w:val="both"/>
        <w:rPr>
          <w:rFonts w:cs="Arial"/>
          <w:sz w:val="23"/>
          <w:szCs w:val="23"/>
        </w:rPr>
      </w:pPr>
    </w:p>
    <w:p w14:paraId="555813DF" w14:textId="77777777" w:rsidR="00CF1A57" w:rsidRPr="00183434" w:rsidRDefault="007857B3" w:rsidP="00183434">
      <w:pPr>
        <w:jc w:val="both"/>
        <w:rPr>
          <w:rFonts w:cs="Arial"/>
          <w:sz w:val="23"/>
          <w:szCs w:val="23"/>
          <w:highlight w:val="cyan"/>
        </w:rPr>
      </w:pPr>
      <w:r w:rsidRPr="00183434">
        <w:rPr>
          <w:rFonts w:cs="Arial"/>
          <w:b/>
          <w:sz w:val="23"/>
          <w:szCs w:val="23"/>
        </w:rPr>
        <w:t>Collection Fund</w:t>
      </w:r>
      <w:r w:rsidRPr="00183434">
        <w:rPr>
          <w:rFonts w:cs="Arial"/>
          <w:sz w:val="23"/>
          <w:szCs w:val="23"/>
        </w:rPr>
        <w:t xml:space="preserve"> – This shows the transactions of the Council as a billing authority in relation to the collection from taxpayers and distribution to Local Authorities and the Government.</w:t>
      </w:r>
    </w:p>
    <w:p w14:paraId="2EFF3A50" w14:textId="77777777" w:rsidR="009F0364" w:rsidRPr="00183434" w:rsidRDefault="009F0364" w:rsidP="00183434">
      <w:pPr>
        <w:jc w:val="both"/>
        <w:rPr>
          <w:rFonts w:cs="Arial"/>
          <w:sz w:val="23"/>
          <w:szCs w:val="23"/>
          <w:highlight w:val="cyan"/>
        </w:rPr>
      </w:pPr>
    </w:p>
    <w:p w14:paraId="106CE2E9" w14:textId="77777777" w:rsidR="009F0364" w:rsidRPr="00183434" w:rsidRDefault="009F0364" w:rsidP="00183434">
      <w:pPr>
        <w:jc w:val="both"/>
        <w:rPr>
          <w:rFonts w:cs="Arial"/>
          <w:sz w:val="23"/>
          <w:szCs w:val="23"/>
          <w:highlight w:val="cyan"/>
        </w:rPr>
      </w:pPr>
    </w:p>
    <w:p w14:paraId="3C49C1F0" w14:textId="77777777" w:rsidR="009F0364" w:rsidRPr="00183434" w:rsidRDefault="009F0364" w:rsidP="00183434">
      <w:pPr>
        <w:jc w:val="both"/>
        <w:rPr>
          <w:rFonts w:cs="Arial"/>
          <w:sz w:val="23"/>
          <w:szCs w:val="23"/>
          <w:highlight w:val="cyan"/>
        </w:rPr>
      </w:pPr>
    </w:p>
    <w:p w14:paraId="74A1DDFD" w14:textId="77777777" w:rsidR="008D7015" w:rsidRPr="00183434" w:rsidRDefault="008D7015" w:rsidP="00183434">
      <w:pPr>
        <w:jc w:val="both"/>
        <w:rPr>
          <w:rFonts w:cs="Arial"/>
          <w:sz w:val="23"/>
          <w:szCs w:val="23"/>
          <w:highlight w:val="cyan"/>
        </w:rPr>
      </w:pPr>
    </w:p>
    <w:p w14:paraId="00CE2FE5" w14:textId="77777777" w:rsidR="008D7015" w:rsidRPr="00183434" w:rsidRDefault="008D7015" w:rsidP="00183434">
      <w:pPr>
        <w:jc w:val="both"/>
        <w:rPr>
          <w:rFonts w:cs="Arial"/>
          <w:sz w:val="23"/>
          <w:szCs w:val="23"/>
          <w:highlight w:val="cyan"/>
        </w:rPr>
      </w:pPr>
    </w:p>
    <w:p w14:paraId="011016C6" w14:textId="77777777" w:rsidR="008D7015" w:rsidRPr="00183434" w:rsidRDefault="008D7015" w:rsidP="00183434">
      <w:pPr>
        <w:jc w:val="both"/>
        <w:rPr>
          <w:rFonts w:cs="Arial"/>
          <w:sz w:val="23"/>
          <w:szCs w:val="23"/>
          <w:highlight w:val="cyan"/>
        </w:rPr>
      </w:pPr>
    </w:p>
    <w:p w14:paraId="61464E58" w14:textId="77777777" w:rsidR="008D7015" w:rsidRPr="00183434" w:rsidRDefault="008D7015" w:rsidP="00183434">
      <w:pPr>
        <w:jc w:val="both"/>
        <w:rPr>
          <w:rFonts w:cs="Arial"/>
          <w:sz w:val="23"/>
          <w:szCs w:val="23"/>
          <w:highlight w:val="cyan"/>
        </w:rPr>
      </w:pPr>
    </w:p>
    <w:p w14:paraId="613875F2" w14:textId="77777777" w:rsidR="008D7015" w:rsidRPr="00183434" w:rsidRDefault="008D7015" w:rsidP="00183434">
      <w:pPr>
        <w:jc w:val="both"/>
        <w:rPr>
          <w:rFonts w:cs="Arial"/>
          <w:sz w:val="23"/>
          <w:szCs w:val="23"/>
          <w:highlight w:val="cyan"/>
        </w:rPr>
      </w:pPr>
    </w:p>
    <w:p w14:paraId="4E11ACB0" w14:textId="77777777" w:rsidR="008D7015" w:rsidRPr="00183434" w:rsidRDefault="008D7015" w:rsidP="00183434">
      <w:pPr>
        <w:jc w:val="both"/>
        <w:rPr>
          <w:rFonts w:cs="Arial"/>
          <w:sz w:val="23"/>
          <w:szCs w:val="23"/>
          <w:highlight w:val="cyan"/>
        </w:rPr>
      </w:pPr>
    </w:p>
    <w:p w14:paraId="171ACBBC" w14:textId="77777777" w:rsidR="007A62F1" w:rsidRPr="00183434" w:rsidRDefault="007A62F1" w:rsidP="00183434">
      <w:pPr>
        <w:jc w:val="both"/>
        <w:rPr>
          <w:rFonts w:cs="Arial"/>
          <w:sz w:val="23"/>
          <w:szCs w:val="23"/>
          <w:highlight w:val="cyan"/>
        </w:rPr>
      </w:pPr>
    </w:p>
    <w:p w14:paraId="7A069F12" w14:textId="77777777" w:rsidR="008D7015" w:rsidRPr="00183434" w:rsidRDefault="008D7015" w:rsidP="00183434">
      <w:pPr>
        <w:jc w:val="both"/>
        <w:rPr>
          <w:rFonts w:cs="Arial"/>
          <w:sz w:val="23"/>
          <w:szCs w:val="23"/>
          <w:highlight w:val="cyan"/>
        </w:rPr>
      </w:pPr>
    </w:p>
    <w:p w14:paraId="6B116315" w14:textId="77777777" w:rsidR="00904ECD" w:rsidRPr="00183434" w:rsidRDefault="00904ECD" w:rsidP="00183434">
      <w:pPr>
        <w:jc w:val="both"/>
        <w:rPr>
          <w:rFonts w:cs="Arial"/>
          <w:sz w:val="23"/>
          <w:szCs w:val="23"/>
          <w:highlight w:val="cyan"/>
        </w:rPr>
      </w:pPr>
    </w:p>
    <w:p w14:paraId="15130C0D" w14:textId="77777777" w:rsidR="008D7015" w:rsidRPr="00183434" w:rsidRDefault="008D7015" w:rsidP="00183434">
      <w:pPr>
        <w:jc w:val="both"/>
        <w:rPr>
          <w:rFonts w:cs="Arial"/>
          <w:sz w:val="23"/>
          <w:szCs w:val="23"/>
          <w:highlight w:val="cyan"/>
        </w:rPr>
      </w:pPr>
    </w:p>
    <w:p w14:paraId="16C20619" w14:textId="28DF8809" w:rsidR="00183434" w:rsidRDefault="00183434">
      <w:pPr>
        <w:rPr>
          <w:rFonts w:cs="Arial"/>
          <w:sz w:val="23"/>
          <w:szCs w:val="23"/>
          <w:highlight w:val="cyan"/>
        </w:rPr>
      </w:pPr>
      <w:r>
        <w:rPr>
          <w:rFonts w:cs="Arial"/>
          <w:sz w:val="23"/>
          <w:szCs w:val="23"/>
          <w:highlight w:val="cyan"/>
        </w:rPr>
        <w:br w:type="page"/>
      </w:r>
    </w:p>
    <w:p w14:paraId="227281EF" w14:textId="77777777" w:rsidR="009F0364" w:rsidRPr="00183434" w:rsidRDefault="009F0364" w:rsidP="00183434">
      <w:pPr>
        <w:jc w:val="both"/>
        <w:rPr>
          <w:rFonts w:cs="Arial"/>
          <w:sz w:val="23"/>
          <w:szCs w:val="23"/>
          <w:highlight w:val="cyan"/>
        </w:rPr>
      </w:pPr>
    </w:p>
    <w:p w14:paraId="2C70A97A" w14:textId="77777777" w:rsidR="00386757" w:rsidRPr="00183434" w:rsidRDefault="00386757" w:rsidP="00183434">
      <w:pPr>
        <w:jc w:val="both"/>
        <w:rPr>
          <w:rFonts w:cs="Arial"/>
          <w:sz w:val="23"/>
          <w:szCs w:val="23"/>
          <w:highlight w:val="cya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242"/>
      </w:tblGrid>
      <w:tr w:rsidR="00386757" w:rsidRPr="00183434" w14:paraId="0F05095C" w14:textId="77777777">
        <w:trPr>
          <w:jc w:val="center"/>
        </w:trPr>
        <w:tc>
          <w:tcPr>
            <w:tcW w:w="9242" w:type="dxa"/>
          </w:tcPr>
          <w:p w14:paraId="7922703A" w14:textId="77777777" w:rsidR="00386757" w:rsidRPr="00183434" w:rsidRDefault="00386757" w:rsidP="00183434">
            <w:pPr>
              <w:jc w:val="both"/>
              <w:rPr>
                <w:rFonts w:cs="Arial"/>
                <w:b/>
                <w:sz w:val="23"/>
                <w:szCs w:val="23"/>
              </w:rPr>
            </w:pPr>
          </w:p>
          <w:p w14:paraId="39386924" w14:textId="77777777" w:rsidR="00386757" w:rsidRPr="00183434" w:rsidRDefault="00386757" w:rsidP="00183434">
            <w:pPr>
              <w:jc w:val="both"/>
              <w:rPr>
                <w:rFonts w:cs="Arial"/>
                <w:b/>
                <w:sz w:val="23"/>
                <w:szCs w:val="23"/>
              </w:rPr>
            </w:pPr>
            <w:r w:rsidRPr="00183434">
              <w:rPr>
                <w:rFonts w:cs="Arial"/>
                <w:b/>
                <w:sz w:val="23"/>
                <w:szCs w:val="23"/>
              </w:rPr>
              <w:t>RESPONSIBILITIES FOR THE STATEMENT OF ACCOUNTS</w:t>
            </w:r>
          </w:p>
          <w:p w14:paraId="44265E86" w14:textId="77777777" w:rsidR="00386757" w:rsidRPr="00183434" w:rsidRDefault="00386757" w:rsidP="00183434">
            <w:pPr>
              <w:jc w:val="both"/>
              <w:rPr>
                <w:rFonts w:cs="Arial"/>
                <w:b/>
                <w:sz w:val="23"/>
                <w:szCs w:val="23"/>
                <w:highlight w:val="cyan"/>
              </w:rPr>
            </w:pPr>
          </w:p>
        </w:tc>
      </w:tr>
      <w:tr w:rsidR="00386757" w:rsidRPr="00183434" w14:paraId="38877096" w14:textId="77777777">
        <w:trPr>
          <w:jc w:val="center"/>
        </w:trPr>
        <w:tc>
          <w:tcPr>
            <w:tcW w:w="9242" w:type="dxa"/>
          </w:tcPr>
          <w:p w14:paraId="4F44B742" w14:textId="77777777" w:rsidR="00386757" w:rsidRPr="00183434" w:rsidRDefault="00386757" w:rsidP="00183434">
            <w:pPr>
              <w:jc w:val="both"/>
              <w:rPr>
                <w:rFonts w:cs="Arial"/>
                <w:sz w:val="23"/>
                <w:szCs w:val="23"/>
              </w:rPr>
            </w:pPr>
          </w:p>
          <w:p w14:paraId="1A373898" w14:textId="77777777" w:rsidR="00386757" w:rsidRPr="00183434" w:rsidRDefault="00386757" w:rsidP="00183434">
            <w:pPr>
              <w:pStyle w:val="Heading1"/>
              <w:jc w:val="both"/>
              <w:rPr>
                <w:rFonts w:cs="Arial"/>
                <w:sz w:val="23"/>
                <w:szCs w:val="23"/>
              </w:rPr>
            </w:pPr>
            <w:r w:rsidRPr="00183434">
              <w:rPr>
                <w:rFonts w:cs="Arial"/>
                <w:sz w:val="23"/>
                <w:szCs w:val="23"/>
              </w:rPr>
              <w:t>The Authority’s Responsibilities</w:t>
            </w:r>
          </w:p>
          <w:p w14:paraId="5382DBFC" w14:textId="77777777" w:rsidR="00386757" w:rsidRPr="00183434" w:rsidRDefault="00386757" w:rsidP="00183434">
            <w:pPr>
              <w:jc w:val="both"/>
              <w:rPr>
                <w:rFonts w:cs="Arial"/>
                <w:sz w:val="23"/>
                <w:szCs w:val="23"/>
              </w:rPr>
            </w:pPr>
          </w:p>
          <w:p w14:paraId="5E3E384C" w14:textId="77777777" w:rsidR="00386757" w:rsidRPr="00183434" w:rsidRDefault="00386757" w:rsidP="00183434">
            <w:pPr>
              <w:pStyle w:val="Footer"/>
              <w:tabs>
                <w:tab w:val="clear" w:pos="4153"/>
                <w:tab w:val="clear" w:pos="8306"/>
              </w:tabs>
              <w:jc w:val="both"/>
              <w:rPr>
                <w:rFonts w:cs="Arial"/>
                <w:sz w:val="23"/>
                <w:szCs w:val="23"/>
              </w:rPr>
            </w:pPr>
            <w:r w:rsidRPr="00183434">
              <w:rPr>
                <w:rFonts w:cs="Arial"/>
                <w:sz w:val="23"/>
                <w:szCs w:val="23"/>
              </w:rPr>
              <w:t>The Authority is required</w:t>
            </w:r>
          </w:p>
          <w:p w14:paraId="1402AF14" w14:textId="77777777" w:rsidR="00386757" w:rsidRPr="00183434" w:rsidRDefault="00386757" w:rsidP="00183434">
            <w:pPr>
              <w:jc w:val="both"/>
              <w:rPr>
                <w:rFonts w:cs="Arial"/>
                <w:sz w:val="23"/>
                <w:szCs w:val="23"/>
              </w:rPr>
            </w:pPr>
          </w:p>
          <w:p w14:paraId="46034238" w14:textId="77777777" w:rsidR="00386757" w:rsidRPr="00183434" w:rsidRDefault="00386757" w:rsidP="00183434">
            <w:pPr>
              <w:numPr>
                <w:ilvl w:val="0"/>
                <w:numId w:val="1"/>
              </w:numPr>
              <w:jc w:val="both"/>
              <w:rPr>
                <w:rFonts w:cs="Arial"/>
                <w:sz w:val="23"/>
                <w:szCs w:val="23"/>
              </w:rPr>
            </w:pPr>
            <w:r w:rsidRPr="00183434">
              <w:rPr>
                <w:rFonts w:cs="Arial"/>
                <w:sz w:val="23"/>
                <w:szCs w:val="23"/>
              </w:rPr>
              <w:t xml:space="preserve">To </w:t>
            </w:r>
            <w:proofErr w:type="gramStart"/>
            <w:r w:rsidRPr="00183434">
              <w:rPr>
                <w:rFonts w:cs="Arial"/>
                <w:sz w:val="23"/>
                <w:szCs w:val="23"/>
              </w:rPr>
              <w:t>make arrangements</w:t>
            </w:r>
            <w:proofErr w:type="gramEnd"/>
            <w:r w:rsidRPr="00183434">
              <w:rPr>
                <w:rFonts w:cs="Arial"/>
                <w:sz w:val="23"/>
                <w:szCs w:val="23"/>
              </w:rPr>
              <w:t xml:space="preserve"> for the proper administration of its financial affairs and to secure that one of its officers has responsibility for the administration of those affairs.  In this authority, tha</w:t>
            </w:r>
            <w:r w:rsidR="008B164C" w:rsidRPr="00183434">
              <w:rPr>
                <w:rFonts w:cs="Arial"/>
                <w:sz w:val="23"/>
                <w:szCs w:val="23"/>
              </w:rPr>
              <w:t>t officer is th</w:t>
            </w:r>
            <w:r w:rsidR="001367AF" w:rsidRPr="00183434">
              <w:rPr>
                <w:rFonts w:cs="Arial"/>
                <w:sz w:val="23"/>
                <w:szCs w:val="23"/>
              </w:rPr>
              <w:t>e</w:t>
            </w:r>
            <w:r w:rsidR="00C00D67" w:rsidRPr="00183434">
              <w:rPr>
                <w:rFonts w:cs="Arial"/>
                <w:sz w:val="23"/>
                <w:szCs w:val="23"/>
              </w:rPr>
              <w:t xml:space="preserve"> Service Director </w:t>
            </w:r>
            <w:r w:rsidR="00000C6A" w:rsidRPr="00183434">
              <w:rPr>
                <w:rFonts w:cs="Arial"/>
                <w:sz w:val="23"/>
                <w:szCs w:val="23"/>
              </w:rPr>
              <w:t>–</w:t>
            </w:r>
            <w:r w:rsidR="00C00D67" w:rsidRPr="00183434">
              <w:rPr>
                <w:rFonts w:cs="Arial"/>
                <w:sz w:val="23"/>
                <w:szCs w:val="23"/>
              </w:rPr>
              <w:t xml:space="preserve"> </w:t>
            </w:r>
            <w:r w:rsidR="00616526" w:rsidRPr="00183434">
              <w:rPr>
                <w:rFonts w:cs="Arial"/>
                <w:sz w:val="23"/>
                <w:szCs w:val="23"/>
              </w:rPr>
              <w:t>Finance</w:t>
            </w:r>
            <w:r w:rsidR="00000C6A" w:rsidRPr="00183434">
              <w:rPr>
                <w:rFonts w:cs="Arial"/>
                <w:sz w:val="23"/>
                <w:szCs w:val="23"/>
              </w:rPr>
              <w:t>.</w:t>
            </w:r>
          </w:p>
          <w:p w14:paraId="061041C7" w14:textId="77777777" w:rsidR="00386757" w:rsidRPr="00183434" w:rsidRDefault="00386757" w:rsidP="00183434">
            <w:pPr>
              <w:jc w:val="both"/>
              <w:rPr>
                <w:rFonts w:cs="Arial"/>
                <w:sz w:val="23"/>
                <w:szCs w:val="23"/>
              </w:rPr>
            </w:pPr>
          </w:p>
          <w:p w14:paraId="38B82431" w14:textId="77777777" w:rsidR="00386757" w:rsidRPr="00183434" w:rsidRDefault="00386757" w:rsidP="00183434">
            <w:pPr>
              <w:numPr>
                <w:ilvl w:val="0"/>
                <w:numId w:val="1"/>
              </w:numPr>
              <w:jc w:val="both"/>
              <w:rPr>
                <w:rFonts w:cs="Arial"/>
                <w:sz w:val="23"/>
                <w:szCs w:val="23"/>
              </w:rPr>
            </w:pPr>
            <w:r w:rsidRPr="00183434">
              <w:rPr>
                <w:rFonts w:cs="Arial"/>
                <w:sz w:val="23"/>
                <w:szCs w:val="23"/>
              </w:rPr>
              <w:t>To manage its affairs to secure economic, efficient and effective use of resources and safeguard its assets.</w:t>
            </w:r>
          </w:p>
          <w:p w14:paraId="0B514EC9" w14:textId="77777777" w:rsidR="00386757" w:rsidRPr="00183434" w:rsidRDefault="00386757" w:rsidP="00183434">
            <w:pPr>
              <w:jc w:val="both"/>
              <w:rPr>
                <w:rFonts w:cs="Arial"/>
                <w:sz w:val="23"/>
                <w:szCs w:val="23"/>
              </w:rPr>
            </w:pPr>
          </w:p>
          <w:p w14:paraId="49482679" w14:textId="77777777" w:rsidR="00386757" w:rsidRPr="00183434" w:rsidRDefault="00386757" w:rsidP="00183434">
            <w:pPr>
              <w:numPr>
                <w:ilvl w:val="0"/>
                <w:numId w:val="1"/>
              </w:numPr>
              <w:jc w:val="both"/>
              <w:rPr>
                <w:rFonts w:cs="Arial"/>
                <w:sz w:val="23"/>
                <w:szCs w:val="23"/>
              </w:rPr>
            </w:pPr>
            <w:r w:rsidRPr="00183434">
              <w:rPr>
                <w:rFonts w:cs="Arial"/>
                <w:sz w:val="23"/>
                <w:szCs w:val="23"/>
              </w:rPr>
              <w:t>To approve the Statement of Accounts.</w:t>
            </w:r>
          </w:p>
          <w:p w14:paraId="6FF8C54C" w14:textId="77777777" w:rsidR="00386757" w:rsidRPr="00183434" w:rsidRDefault="00386757" w:rsidP="00183434">
            <w:pPr>
              <w:jc w:val="both"/>
              <w:rPr>
                <w:rFonts w:cs="Arial"/>
                <w:sz w:val="23"/>
                <w:szCs w:val="23"/>
              </w:rPr>
            </w:pPr>
          </w:p>
          <w:p w14:paraId="35B5F08B" w14:textId="77777777" w:rsidR="00386757" w:rsidRPr="00183434" w:rsidRDefault="002048B6" w:rsidP="00183434">
            <w:pPr>
              <w:pStyle w:val="Heading1"/>
              <w:jc w:val="both"/>
              <w:rPr>
                <w:rFonts w:cs="Arial"/>
                <w:sz w:val="23"/>
                <w:szCs w:val="23"/>
              </w:rPr>
            </w:pPr>
            <w:r w:rsidRPr="00183434">
              <w:rPr>
                <w:rFonts w:cs="Arial"/>
                <w:sz w:val="23"/>
                <w:szCs w:val="23"/>
              </w:rPr>
              <w:t xml:space="preserve">The </w:t>
            </w:r>
            <w:r w:rsidR="00C00D67" w:rsidRPr="00183434">
              <w:rPr>
                <w:rFonts w:cs="Arial"/>
                <w:sz w:val="23"/>
                <w:szCs w:val="23"/>
              </w:rPr>
              <w:t>Service Director -</w:t>
            </w:r>
            <w:r w:rsidR="00616526" w:rsidRPr="00183434">
              <w:rPr>
                <w:rFonts w:cs="Arial"/>
                <w:sz w:val="23"/>
                <w:szCs w:val="23"/>
              </w:rPr>
              <w:t xml:space="preserve"> Finance</w:t>
            </w:r>
            <w:r w:rsidR="006B40B6" w:rsidRPr="00183434">
              <w:rPr>
                <w:rFonts w:cs="Arial"/>
                <w:sz w:val="23"/>
                <w:szCs w:val="23"/>
              </w:rPr>
              <w:t xml:space="preserve"> Responsibilities</w:t>
            </w:r>
          </w:p>
          <w:p w14:paraId="1FD9C8C2" w14:textId="77777777" w:rsidR="00386757" w:rsidRPr="00183434" w:rsidRDefault="00386757" w:rsidP="00183434">
            <w:pPr>
              <w:jc w:val="both"/>
              <w:rPr>
                <w:rFonts w:cs="Arial"/>
                <w:sz w:val="23"/>
                <w:szCs w:val="23"/>
              </w:rPr>
            </w:pPr>
          </w:p>
          <w:p w14:paraId="00F7802A" w14:textId="77777777" w:rsidR="00386757" w:rsidRPr="00183434" w:rsidRDefault="001367AF" w:rsidP="00183434">
            <w:pPr>
              <w:jc w:val="both"/>
              <w:rPr>
                <w:rFonts w:cs="Arial"/>
                <w:sz w:val="23"/>
                <w:szCs w:val="23"/>
              </w:rPr>
            </w:pPr>
            <w:r w:rsidRPr="00183434">
              <w:rPr>
                <w:rFonts w:cs="Arial"/>
                <w:sz w:val="23"/>
                <w:szCs w:val="23"/>
              </w:rPr>
              <w:t xml:space="preserve">The </w:t>
            </w:r>
            <w:r w:rsidR="00B045AA" w:rsidRPr="00183434">
              <w:rPr>
                <w:rFonts w:cs="Arial"/>
                <w:sz w:val="23"/>
                <w:szCs w:val="23"/>
              </w:rPr>
              <w:t>Service Director - Finance</w:t>
            </w:r>
            <w:r w:rsidR="00F265D2" w:rsidRPr="00183434">
              <w:rPr>
                <w:rFonts w:cs="Arial"/>
                <w:sz w:val="23"/>
                <w:szCs w:val="23"/>
              </w:rPr>
              <w:t xml:space="preserve"> </w:t>
            </w:r>
            <w:r w:rsidR="00386757" w:rsidRPr="00183434">
              <w:rPr>
                <w:rFonts w:cs="Arial"/>
                <w:sz w:val="23"/>
                <w:szCs w:val="23"/>
              </w:rPr>
              <w:t>is responsible for the preparation of the Authority’s Statement of Accounts in accordance with proper practices as set out in the CIPFA/LASAAC Code of Practice on Local Authority Accounting in the United Kingdom (the Code).</w:t>
            </w:r>
          </w:p>
          <w:p w14:paraId="31FC7BE3" w14:textId="77777777" w:rsidR="00386757" w:rsidRPr="00183434" w:rsidRDefault="00386757" w:rsidP="00183434">
            <w:pPr>
              <w:jc w:val="both"/>
              <w:rPr>
                <w:rFonts w:cs="Arial"/>
                <w:sz w:val="23"/>
                <w:szCs w:val="23"/>
              </w:rPr>
            </w:pPr>
          </w:p>
          <w:p w14:paraId="3E2988E2" w14:textId="77777777" w:rsidR="00386757" w:rsidRPr="00183434" w:rsidRDefault="00386757" w:rsidP="00183434">
            <w:pPr>
              <w:jc w:val="both"/>
              <w:rPr>
                <w:rFonts w:cs="Arial"/>
                <w:sz w:val="23"/>
                <w:szCs w:val="23"/>
              </w:rPr>
            </w:pPr>
            <w:r w:rsidRPr="00183434">
              <w:rPr>
                <w:rFonts w:cs="Arial"/>
                <w:sz w:val="23"/>
                <w:szCs w:val="23"/>
              </w:rPr>
              <w:t xml:space="preserve">In preparing this Statement </w:t>
            </w:r>
            <w:r w:rsidR="00E14C0D" w:rsidRPr="00183434">
              <w:rPr>
                <w:rFonts w:cs="Arial"/>
                <w:sz w:val="23"/>
                <w:szCs w:val="23"/>
              </w:rPr>
              <w:t>of Acc</w:t>
            </w:r>
            <w:r w:rsidR="00F265D2" w:rsidRPr="00183434">
              <w:rPr>
                <w:rFonts w:cs="Arial"/>
                <w:sz w:val="23"/>
                <w:szCs w:val="23"/>
              </w:rPr>
              <w:t xml:space="preserve">ounts, the </w:t>
            </w:r>
            <w:r w:rsidR="00C00D67" w:rsidRPr="00183434">
              <w:rPr>
                <w:rFonts w:cs="Arial"/>
                <w:sz w:val="23"/>
                <w:szCs w:val="23"/>
              </w:rPr>
              <w:t>Service Director - Finance</w:t>
            </w:r>
            <w:r w:rsidRPr="00183434">
              <w:rPr>
                <w:rFonts w:cs="Arial"/>
                <w:sz w:val="23"/>
                <w:szCs w:val="23"/>
              </w:rPr>
              <w:t xml:space="preserve"> has: </w:t>
            </w:r>
          </w:p>
          <w:p w14:paraId="5A752E23" w14:textId="77777777" w:rsidR="00386757" w:rsidRPr="00183434" w:rsidRDefault="00386757" w:rsidP="00183434">
            <w:pPr>
              <w:jc w:val="both"/>
              <w:rPr>
                <w:rFonts w:cs="Arial"/>
                <w:sz w:val="23"/>
                <w:szCs w:val="23"/>
              </w:rPr>
            </w:pPr>
          </w:p>
          <w:p w14:paraId="5C77E9C0" w14:textId="77777777" w:rsidR="00386757" w:rsidRPr="00183434" w:rsidRDefault="00386757" w:rsidP="00183434">
            <w:pPr>
              <w:numPr>
                <w:ilvl w:val="0"/>
                <w:numId w:val="1"/>
              </w:numPr>
              <w:jc w:val="both"/>
              <w:rPr>
                <w:rFonts w:cs="Arial"/>
                <w:sz w:val="23"/>
                <w:szCs w:val="23"/>
              </w:rPr>
            </w:pPr>
            <w:r w:rsidRPr="00183434">
              <w:rPr>
                <w:rFonts w:cs="Arial"/>
                <w:sz w:val="23"/>
                <w:szCs w:val="23"/>
              </w:rPr>
              <w:t>Selected suitable accounting policies and applied them consistently;</w:t>
            </w:r>
          </w:p>
          <w:p w14:paraId="7F4F604F" w14:textId="77777777" w:rsidR="00386757" w:rsidRPr="00183434" w:rsidRDefault="00386757" w:rsidP="00183434">
            <w:pPr>
              <w:jc w:val="both"/>
              <w:rPr>
                <w:rFonts w:cs="Arial"/>
                <w:sz w:val="23"/>
                <w:szCs w:val="23"/>
              </w:rPr>
            </w:pPr>
          </w:p>
          <w:p w14:paraId="232EB6AE" w14:textId="77777777" w:rsidR="00386757" w:rsidRPr="00183434" w:rsidRDefault="00386757" w:rsidP="00183434">
            <w:pPr>
              <w:numPr>
                <w:ilvl w:val="0"/>
                <w:numId w:val="1"/>
              </w:numPr>
              <w:jc w:val="both"/>
              <w:rPr>
                <w:rFonts w:cs="Arial"/>
                <w:sz w:val="23"/>
                <w:szCs w:val="23"/>
              </w:rPr>
            </w:pPr>
            <w:r w:rsidRPr="00183434">
              <w:rPr>
                <w:rFonts w:cs="Arial"/>
                <w:sz w:val="23"/>
                <w:szCs w:val="23"/>
              </w:rPr>
              <w:t>Made judgements and estimates that were reasonable and prudent;</w:t>
            </w:r>
          </w:p>
          <w:p w14:paraId="5222EDFA" w14:textId="77777777" w:rsidR="00386757" w:rsidRPr="00183434" w:rsidRDefault="00386757" w:rsidP="00183434">
            <w:pPr>
              <w:jc w:val="both"/>
              <w:rPr>
                <w:rFonts w:cs="Arial"/>
                <w:sz w:val="23"/>
                <w:szCs w:val="23"/>
              </w:rPr>
            </w:pPr>
          </w:p>
          <w:p w14:paraId="21107593" w14:textId="77777777" w:rsidR="00386757" w:rsidRPr="00183434" w:rsidRDefault="00386757" w:rsidP="00183434">
            <w:pPr>
              <w:numPr>
                <w:ilvl w:val="0"/>
                <w:numId w:val="1"/>
              </w:numPr>
              <w:jc w:val="both"/>
              <w:rPr>
                <w:rFonts w:cs="Arial"/>
                <w:sz w:val="23"/>
                <w:szCs w:val="23"/>
              </w:rPr>
            </w:pPr>
            <w:r w:rsidRPr="00183434">
              <w:rPr>
                <w:rFonts w:cs="Arial"/>
                <w:sz w:val="23"/>
                <w:szCs w:val="23"/>
              </w:rPr>
              <w:t>Complied with the Local Authority Code;</w:t>
            </w:r>
          </w:p>
          <w:p w14:paraId="0F7B5582" w14:textId="77777777" w:rsidR="00386757" w:rsidRPr="00183434" w:rsidRDefault="00386757" w:rsidP="00183434">
            <w:pPr>
              <w:jc w:val="both"/>
              <w:rPr>
                <w:rFonts w:cs="Arial"/>
                <w:sz w:val="23"/>
                <w:szCs w:val="23"/>
              </w:rPr>
            </w:pPr>
          </w:p>
          <w:p w14:paraId="098C0C2F" w14:textId="77777777" w:rsidR="00386757" w:rsidRPr="00183434" w:rsidRDefault="00386757" w:rsidP="00183434">
            <w:pPr>
              <w:numPr>
                <w:ilvl w:val="0"/>
                <w:numId w:val="1"/>
              </w:numPr>
              <w:jc w:val="both"/>
              <w:rPr>
                <w:rFonts w:cs="Arial"/>
                <w:sz w:val="23"/>
                <w:szCs w:val="23"/>
              </w:rPr>
            </w:pPr>
            <w:r w:rsidRPr="00183434">
              <w:rPr>
                <w:rFonts w:cs="Arial"/>
                <w:sz w:val="23"/>
                <w:szCs w:val="23"/>
              </w:rPr>
              <w:t xml:space="preserve">Kept proper accounting records which were </w:t>
            </w:r>
            <w:proofErr w:type="gramStart"/>
            <w:r w:rsidRPr="00183434">
              <w:rPr>
                <w:rFonts w:cs="Arial"/>
                <w:sz w:val="23"/>
                <w:szCs w:val="23"/>
              </w:rPr>
              <w:t>up-to-date</w:t>
            </w:r>
            <w:proofErr w:type="gramEnd"/>
            <w:r w:rsidRPr="00183434">
              <w:rPr>
                <w:rFonts w:cs="Arial"/>
                <w:sz w:val="23"/>
                <w:szCs w:val="23"/>
              </w:rPr>
              <w:t>;</w:t>
            </w:r>
          </w:p>
          <w:p w14:paraId="5CBC2424" w14:textId="77777777" w:rsidR="00386757" w:rsidRPr="00183434" w:rsidRDefault="00386757" w:rsidP="00183434">
            <w:pPr>
              <w:jc w:val="both"/>
              <w:rPr>
                <w:rFonts w:cs="Arial"/>
                <w:sz w:val="23"/>
                <w:szCs w:val="23"/>
              </w:rPr>
            </w:pPr>
          </w:p>
          <w:p w14:paraId="38C35457" w14:textId="77777777" w:rsidR="00386757" w:rsidRPr="00183434" w:rsidRDefault="00386757" w:rsidP="00183434">
            <w:pPr>
              <w:numPr>
                <w:ilvl w:val="0"/>
                <w:numId w:val="1"/>
              </w:numPr>
              <w:jc w:val="both"/>
              <w:rPr>
                <w:rFonts w:cs="Arial"/>
                <w:sz w:val="23"/>
                <w:szCs w:val="23"/>
              </w:rPr>
            </w:pPr>
            <w:r w:rsidRPr="00183434">
              <w:rPr>
                <w:rFonts w:cs="Arial"/>
                <w:sz w:val="23"/>
                <w:szCs w:val="23"/>
              </w:rPr>
              <w:t>Taken reasonable steps for the prevention and detection of fraud and other irregularities.</w:t>
            </w:r>
          </w:p>
        </w:tc>
      </w:tr>
    </w:tbl>
    <w:p w14:paraId="2520660B" w14:textId="77777777" w:rsidR="00386757" w:rsidRPr="00183434" w:rsidRDefault="00386757" w:rsidP="00183434">
      <w:pPr>
        <w:pStyle w:val="Footer"/>
        <w:tabs>
          <w:tab w:val="clear" w:pos="4153"/>
          <w:tab w:val="clear" w:pos="8306"/>
        </w:tabs>
        <w:jc w:val="both"/>
        <w:rPr>
          <w:rFonts w:cs="Arial"/>
          <w:sz w:val="23"/>
          <w:szCs w:val="23"/>
          <w:highlight w:val="cyan"/>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242"/>
      </w:tblGrid>
      <w:tr w:rsidR="00386757" w:rsidRPr="00183434" w14:paraId="1B3C4E13" w14:textId="77777777">
        <w:trPr>
          <w:jc w:val="center"/>
        </w:trPr>
        <w:tc>
          <w:tcPr>
            <w:tcW w:w="9242" w:type="dxa"/>
          </w:tcPr>
          <w:p w14:paraId="66F78990" w14:textId="77777777" w:rsidR="00386757" w:rsidRPr="00183434" w:rsidRDefault="00386757" w:rsidP="00183434">
            <w:pPr>
              <w:pStyle w:val="Footer"/>
              <w:tabs>
                <w:tab w:val="clear" w:pos="4153"/>
                <w:tab w:val="clear" w:pos="8306"/>
              </w:tabs>
              <w:jc w:val="both"/>
              <w:rPr>
                <w:rFonts w:cs="Arial"/>
                <w:sz w:val="23"/>
                <w:szCs w:val="23"/>
              </w:rPr>
            </w:pPr>
          </w:p>
          <w:p w14:paraId="64E65421" w14:textId="445FBE04" w:rsidR="00386757" w:rsidRPr="00183434" w:rsidRDefault="00C00D67" w:rsidP="00183434">
            <w:pPr>
              <w:pStyle w:val="Footer"/>
              <w:tabs>
                <w:tab w:val="clear" w:pos="4153"/>
                <w:tab w:val="clear" w:pos="8306"/>
              </w:tabs>
              <w:jc w:val="both"/>
              <w:rPr>
                <w:rFonts w:cs="Arial"/>
                <w:b/>
                <w:sz w:val="23"/>
                <w:szCs w:val="23"/>
              </w:rPr>
            </w:pPr>
            <w:r w:rsidRPr="00183434">
              <w:rPr>
                <w:rFonts w:cs="Arial"/>
                <w:b/>
                <w:sz w:val="23"/>
                <w:szCs w:val="23"/>
              </w:rPr>
              <w:t>SERVICE DIRECTOR - FINANCE</w:t>
            </w:r>
            <w:r w:rsidR="00386757" w:rsidRPr="00183434">
              <w:rPr>
                <w:rFonts w:cs="Arial"/>
                <w:b/>
                <w:sz w:val="23"/>
                <w:szCs w:val="23"/>
              </w:rPr>
              <w:t xml:space="preserve"> CERTIFICATE</w:t>
            </w:r>
          </w:p>
          <w:p w14:paraId="73365538" w14:textId="77777777" w:rsidR="00386757" w:rsidRPr="00183434" w:rsidRDefault="00386757" w:rsidP="00183434">
            <w:pPr>
              <w:pStyle w:val="Footer"/>
              <w:tabs>
                <w:tab w:val="clear" w:pos="4153"/>
                <w:tab w:val="clear" w:pos="8306"/>
              </w:tabs>
              <w:jc w:val="both"/>
              <w:rPr>
                <w:rFonts w:cs="Arial"/>
                <w:sz w:val="23"/>
                <w:szCs w:val="23"/>
              </w:rPr>
            </w:pPr>
          </w:p>
          <w:p w14:paraId="06704061" w14:textId="60F634E5" w:rsidR="00386757" w:rsidRPr="00183434" w:rsidRDefault="00E87FEC" w:rsidP="00183434">
            <w:pPr>
              <w:pStyle w:val="Footer"/>
              <w:tabs>
                <w:tab w:val="clear" w:pos="4153"/>
                <w:tab w:val="clear" w:pos="8306"/>
              </w:tabs>
              <w:jc w:val="both"/>
              <w:rPr>
                <w:rFonts w:cs="Arial"/>
                <w:sz w:val="23"/>
                <w:szCs w:val="23"/>
              </w:rPr>
            </w:pPr>
            <w:r w:rsidRPr="00183434">
              <w:rPr>
                <w:rFonts w:cs="Arial"/>
                <w:sz w:val="23"/>
                <w:szCs w:val="23"/>
              </w:rPr>
              <w:t>I certify that the Statement of Accounts</w:t>
            </w:r>
            <w:r w:rsidR="00386757" w:rsidRPr="00183434">
              <w:rPr>
                <w:rFonts w:cs="Arial"/>
                <w:sz w:val="23"/>
                <w:szCs w:val="23"/>
              </w:rPr>
              <w:t xml:space="preserve"> gives a true and fair view of the financial position of the Council at the reporting date and of its income and expenditure fo</w:t>
            </w:r>
            <w:r w:rsidR="00ED7719" w:rsidRPr="00183434">
              <w:rPr>
                <w:rFonts w:cs="Arial"/>
                <w:sz w:val="23"/>
                <w:szCs w:val="23"/>
              </w:rPr>
              <w:t>r the year ended 31st March 20</w:t>
            </w:r>
            <w:r w:rsidR="00F06BBF" w:rsidRPr="00183434">
              <w:rPr>
                <w:rFonts w:cs="Arial"/>
                <w:sz w:val="23"/>
                <w:szCs w:val="23"/>
              </w:rPr>
              <w:t>2</w:t>
            </w:r>
            <w:r w:rsidR="006A5BF3" w:rsidRPr="00183434">
              <w:rPr>
                <w:rFonts w:cs="Arial"/>
                <w:sz w:val="23"/>
                <w:szCs w:val="23"/>
              </w:rPr>
              <w:t>6</w:t>
            </w:r>
            <w:r w:rsidR="00386757" w:rsidRPr="00183434">
              <w:rPr>
                <w:rFonts w:cs="Arial"/>
                <w:sz w:val="23"/>
                <w:szCs w:val="23"/>
              </w:rPr>
              <w:t>.</w:t>
            </w:r>
          </w:p>
          <w:p w14:paraId="1B62869B" w14:textId="77777777" w:rsidR="00386757" w:rsidRPr="00183434" w:rsidRDefault="00386757" w:rsidP="00183434">
            <w:pPr>
              <w:pStyle w:val="Footer"/>
              <w:tabs>
                <w:tab w:val="clear" w:pos="4153"/>
                <w:tab w:val="clear" w:pos="8306"/>
              </w:tabs>
              <w:jc w:val="both"/>
              <w:rPr>
                <w:rFonts w:cs="Arial"/>
                <w:sz w:val="23"/>
                <w:szCs w:val="23"/>
              </w:rPr>
            </w:pPr>
          </w:p>
          <w:p w14:paraId="2C0C98B0" w14:textId="34A19428" w:rsidR="002D0C64" w:rsidRPr="00183434" w:rsidRDefault="002D0C64" w:rsidP="00183434">
            <w:pPr>
              <w:pStyle w:val="Footer"/>
              <w:tabs>
                <w:tab w:val="clear" w:pos="4153"/>
                <w:tab w:val="clear" w:pos="8306"/>
              </w:tabs>
              <w:jc w:val="both"/>
              <w:rPr>
                <w:rFonts w:cs="Arial"/>
                <w:sz w:val="23"/>
                <w:szCs w:val="23"/>
              </w:rPr>
            </w:pPr>
            <w:r w:rsidRPr="00183434">
              <w:rPr>
                <w:rFonts w:cs="Arial"/>
                <w:noProof/>
                <w:sz w:val="23"/>
                <w:szCs w:val="23"/>
              </w:rPr>
              <w:drawing>
                <wp:inline distT="0" distB="0" distL="0" distR="0" wp14:anchorId="35BD934E" wp14:editId="44C8E9D5">
                  <wp:extent cx="1895094" cy="569214"/>
                  <wp:effectExtent l="0" t="0" r="0" b="2540"/>
                  <wp:docPr id="171727002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08468" name="Picture 1" descr="A close-up of a signatur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5094" cy="569214"/>
                          </a:xfrm>
                          <a:prstGeom prst="rect">
                            <a:avLst/>
                          </a:prstGeom>
                        </pic:spPr>
                      </pic:pic>
                    </a:graphicData>
                  </a:graphic>
                </wp:inline>
              </w:drawing>
            </w:r>
          </w:p>
          <w:p w14:paraId="62F2BDD5" w14:textId="77777777" w:rsidR="00CE12A2" w:rsidRPr="00183434" w:rsidRDefault="00CE12A2" w:rsidP="00183434">
            <w:pPr>
              <w:jc w:val="both"/>
              <w:rPr>
                <w:rFonts w:cs="Arial"/>
                <w:b/>
                <w:sz w:val="23"/>
                <w:szCs w:val="23"/>
              </w:rPr>
            </w:pPr>
          </w:p>
          <w:p w14:paraId="092C06B8" w14:textId="77777777" w:rsidR="00CE12A2" w:rsidRPr="00183434" w:rsidRDefault="00CE12A2" w:rsidP="00183434">
            <w:pPr>
              <w:jc w:val="both"/>
              <w:rPr>
                <w:rFonts w:cs="Arial"/>
                <w:b/>
                <w:sz w:val="23"/>
                <w:szCs w:val="23"/>
              </w:rPr>
            </w:pPr>
          </w:p>
          <w:p w14:paraId="620A6C7B" w14:textId="1569714B" w:rsidR="00BE1914" w:rsidRPr="00183434" w:rsidRDefault="00BE1914" w:rsidP="00183434">
            <w:pPr>
              <w:jc w:val="both"/>
              <w:rPr>
                <w:rFonts w:cs="Arial"/>
                <w:b/>
                <w:sz w:val="23"/>
                <w:szCs w:val="23"/>
              </w:rPr>
            </w:pPr>
            <w:r w:rsidRPr="00183434">
              <w:rPr>
                <w:rFonts w:cs="Arial"/>
                <w:b/>
                <w:sz w:val="23"/>
                <w:szCs w:val="23"/>
              </w:rPr>
              <w:t>T Channell FCPFA</w:t>
            </w:r>
          </w:p>
          <w:p w14:paraId="62B6FDF0" w14:textId="77777777" w:rsidR="00386757" w:rsidRPr="00183434" w:rsidRDefault="00C00D67" w:rsidP="00183434">
            <w:pPr>
              <w:pStyle w:val="Footer"/>
              <w:tabs>
                <w:tab w:val="clear" w:pos="4153"/>
                <w:tab w:val="clear" w:pos="8306"/>
              </w:tabs>
              <w:jc w:val="both"/>
              <w:rPr>
                <w:rFonts w:cs="Arial"/>
                <w:b/>
                <w:sz w:val="23"/>
                <w:szCs w:val="23"/>
              </w:rPr>
            </w:pPr>
            <w:r w:rsidRPr="00183434">
              <w:rPr>
                <w:rFonts w:cs="Arial"/>
                <w:b/>
                <w:sz w:val="23"/>
                <w:szCs w:val="23"/>
              </w:rPr>
              <w:t>SERVICE DIRECTOR - FINANCE</w:t>
            </w:r>
          </w:p>
          <w:p w14:paraId="2138CDCF" w14:textId="77777777" w:rsidR="00386757" w:rsidRPr="00183434" w:rsidRDefault="00386757" w:rsidP="00183434">
            <w:pPr>
              <w:pStyle w:val="Footer"/>
              <w:tabs>
                <w:tab w:val="clear" w:pos="4153"/>
                <w:tab w:val="clear" w:pos="8306"/>
              </w:tabs>
              <w:jc w:val="both"/>
              <w:rPr>
                <w:rFonts w:cs="Arial"/>
                <w:sz w:val="23"/>
                <w:szCs w:val="23"/>
              </w:rPr>
            </w:pPr>
          </w:p>
        </w:tc>
      </w:tr>
    </w:tbl>
    <w:p w14:paraId="3E609A4F" w14:textId="1DEF7E4D" w:rsidR="00D219EF" w:rsidRPr="00183434" w:rsidRDefault="00386757" w:rsidP="00183434">
      <w:pPr>
        <w:jc w:val="both"/>
        <w:rPr>
          <w:rFonts w:cs="Arial"/>
          <w:b/>
          <w:sz w:val="23"/>
          <w:szCs w:val="23"/>
        </w:rPr>
      </w:pPr>
      <w:r w:rsidRPr="00183434">
        <w:rPr>
          <w:rFonts w:cs="Arial"/>
          <w:sz w:val="23"/>
          <w:szCs w:val="23"/>
          <w:highlight w:val="cyan"/>
        </w:rPr>
        <w:br w:type="page"/>
      </w:r>
      <w:r w:rsidR="00D219EF" w:rsidRPr="00183434">
        <w:rPr>
          <w:rFonts w:cs="Arial"/>
          <w:b/>
          <w:sz w:val="23"/>
          <w:szCs w:val="23"/>
        </w:rPr>
        <w:lastRenderedPageBreak/>
        <w:t>CHESTERFIELD BOROUGH COUNCIL</w:t>
      </w:r>
    </w:p>
    <w:p w14:paraId="1B0CA83C" w14:textId="77777777" w:rsidR="00D219EF" w:rsidRPr="00183434" w:rsidRDefault="00D219EF" w:rsidP="00183434">
      <w:pPr>
        <w:jc w:val="both"/>
        <w:rPr>
          <w:rFonts w:cs="Arial"/>
          <w:b/>
          <w:sz w:val="23"/>
          <w:szCs w:val="23"/>
        </w:rPr>
      </w:pPr>
    </w:p>
    <w:p w14:paraId="4F9ECFFA" w14:textId="77777777" w:rsidR="00D219EF" w:rsidRPr="00183434" w:rsidRDefault="00D219EF" w:rsidP="00183434">
      <w:pPr>
        <w:keepNext/>
        <w:jc w:val="both"/>
        <w:outlineLvl w:val="0"/>
        <w:rPr>
          <w:rFonts w:cs="Arial"/>
          <w:sz w:val="23"/>
          <w:szCs w:val="23"/>
        </w:rPr>
      </w:pPr>
      <w:r w:rsidRPr="00183434">
        <w:rPr>
          <w:rFonts w:cs="Arial"/>
          <w:b/>
          <w:sz w:val="23"/>
          <w:szCs w:val="23"/>
        </w:rPr>
        <w:t>ANNUAL GOVERNANCE STATEMENT 2025/26</w:t>
      </w:r>
    </w:p>
    <w:p w14:paraId="1A9D7CEB" w14:textId="77777777" w:rsidR="00D219EF" w:rsidRPr="00183434" w:rsidRDefault="00D219EF" w:rsidP="00183434">
      <w:pPr>
        <w:jc w:val="both"/>
        <w:rPr>
          <w:rFonts w:cs="Arial"/>
          <w:color w:val="FF0000"/>
          <w:sz w:val="23"/>
          <w:szCs w:val="23"/>
        </w:rPr>
      </w:pPr>
    </w:p>
    <w:p w14:paraId="26CE07B5" w14:textId="77777777" w:rsidR="00D219EF" w:rsidRPr="00183434" w:rsidRDefault="00D219EF" w:rsidP="00183434">
      <w:pPr>
        <w:jc w:val="both"/>
        <w:rPr>
          <w:rFonts w:cs="Arial"/>
          <w:b/>
          <w:bCs/>
          <w:sz w:val="23"/>
          <w:szCs w:val="23"/>
          <w:u w:val="single"/>
        </w:rPr>
      </w:pPr>
      <w:r w:rsidRPr="00183434">
        <w:rPr>
          <w:rFonts w:cs="Arial"/>
          <w:b/>
          <w:bCs/>
          <w:sz w:val="23"/>
          <w:szCs w:val="23"/>
          <w:u w:val="single"/>
        </w:rPr>
        <w:t>Executive Summary</w:t>
      </w:r>
    </w:p>
    <w:p w14:paraId="490A7768" w14:textId="77777777" w:rsidR="00D219EF" w:rsidRPr="00183434" w:rsidRDefault="00D219EF" w:rsidP="00183434">
      <w:pPr>
        <w:jc w:val="both"/>
        <w:rPr>
          <w:rFonts w:cs="Arial"/>
          <w:sz w:val="23"/>
          <w:szCs w:val="23"/>
        </w:rPr>
      </w:pPr>
    </w:p>
    <w:p w14:paraId="3193A3A7" w14:textId="77777777" w:rsidR="00D219EF" w:rsidRPr="00183434" w:rsidRDefault="00D219EF" w:rsidP="00183434">
      <w:pPr>
        <w:jc w:val="both"/>
        <w:rPr>
          <w:rFonts w:cs="Arial"/>
          <w:sz w:val="23"/>
          <w:szCs w:val="23"/>
        </w:rPr>
      </w:pPr>
      <w:r w:rsidRPr="00183434">
        <w:rPr>
          <w:rFonts w:cs="Arial"/>
          <w:sz w:val="23"/>
          <w:szCs w:val="23"/>
        </w:rPr>
        <w:t xml:space="preserve">Cabinet and the Standards and Audit Committee have considered and reviewed the effectiveness of the governance framework and have advised that the arrangements continue to be regarded as fit for purpose and in accordance with the governance framework. </w:t>
      </w:r>
    </w:p>
    <w:p w14:paraId="07FA1377" w14:textId="77777777" w:rsidR="00D219EF" w:rsidRPr="00183434" w:rsidRDefault="00D219EF" w:rsidP="00183434">
      <w:pPr>
        <w:jc w:val="both"/>
        <w:rPr>
          <w:rFonts w:cs="Arial"/>
          <w:sz w:val="23"/>
          <w:szCs w:val="23"/>
        </w:rPr>
      </w:pPr>
    </w:p>
    <w:p w14:paraId="1FC96EE2" w14:textId="77777777" w:rsidR="00D219EF" w:rsidRPr="00183434" w:rsidRDefault="00D219EF" w:rsidP="00183434">
      <w:pPr>
        <w:jc w:val="both"/>
        <w:rPr>
          <w:rFonts w:cs="Arial"/>
          <w:sz w:val="23"/>
          <w:szCs w:val="23"/>
        </w:rPr>
      </w:pPr>
      <w:r w:rsidRPr="00183434">
        <w:rPr>
          <w:rFonts w:cs="Arial"/>
          <w:sz w:val="23"/>
          <w:szCs w:val="23"/>
        </w:rPr>
        <w:t xml:space="preserve">During 2025/26 significant progress has been made in tackling the areas of governance that were identified as requiring additional focus in 2024/25.  </w:t>
      </w:r>
    </w:p>
    <w:p w14:paraId="0DAFA5DA" w14:textId="77777777" w:rsidR="00D219EF" w:rsidRPr="00183434" w:rsidRDefault="00D219EF" w:rsidP="00183434">
      <w:pPr>
        <w:jc w:val="both"/>
        <w:rPr>
          <w:rFonts w:cs="Arial"/>
          <w:sz w:val="23"/>
          <w:szCs w:val="23"/>
        </w:rPr>
      </w:pPr>
    </w:p>
    <w:p w14:paraId="267A5631" w14:textId="77777777" w:rsidR="00D219EF" w:rsidRPr="00183434" w:rsidRDefault="00D219EF" w:rsidP="00183434">
      <w:pPr>
        <w:jc w:val="both"/>
        <w:rPr>
          <w:rFonts w:cs="Arial"/>
          <w:sz w:val="23"/>
          <w:szCs w:val="23"/>
        </w:rPr>
      </w:pPr>
      <w:r w:rsidRPr="00183434">
        <w:rPr>
          <w:rFonts w:cs="Arial"/>
          <w:sz w:val="23"/>
          <w:szCs w:val="23"/>
        </w:rPr>
        <w:t xml:space="preserve">The preparation of the 2025/26 Annual Governance Statement has identified </w:t>
      </w:r>
      <w:proofErr w:type="gramStart"/>
      <w:r w:rsidRPr="00183434">
        <w:rPr>
          <w:rFonts w:cs="Arial"/>
          <w:sz w:val="23"/>
          <w:szCs w:val="23"/>
        </w:rPr>
        <w:t>a number of</w:t>
      </w:r>
      <w:proofErr w:type="gramEnd"/>
      <w:r w:rsidRPr="00183434">
        <w:rPr>
          <w:rFonts w:cs="Arial"/>
          <w:sz w:val="23"/>
          <w:szCs w:val="23"/>
        </w:rPr>
        <w:t xml:space="preserve"> governance areas for improvement and actions have been identified that will enhance our governance arrangements over the next 12 months.</w:t>
      </w:r>
    </w:p>
    <w:p w14:paraId="3E495FE8" w14:textId="77777777" w:rsidR="00D219EF" w:rsidRPr="00183434" w:rsidRDefault="00D219EF" w:rsidP="00183434">
      <w:pPr>
        <w:jc w:val="both"/>
        <w:rPr>
          <w:rFonts w:cs="Arial"/>
          <w:sz w:val="23"/>
          <w:szCs w:val="23"/>
        </w:rPr>
      </w:pPr>
    </w:p>
    <w:p w14:paraId="1FF11369" w14:textId="77777777" w:rsidR="00D219EF" w:rsidRPr="00183434" w:rsidRDefault="00D219EF" w:rsidP="00183434">
      <w:pPr>
        <w:jc w:val="both"/>
        <w:rPr>
          <w:rFonts w:cs="Arial"/>
          <w:sz w:val="23"/>
          <w:szCs w:val="23"/>
        </w:rPr>
      </w:pPr>
      <w:r w:rsidRPr="00183434">
        <w:rPr>
          <w:rFonts w:cs="Arial"/>
          <w:sz w:val="23"/>
          <w:szCs w:val="23"/>
        </w:rPr>
        <w:t>We are satisfied that the planned actions will address the need for improvements and will monitor their implementation and operation as part of our next annual review.</w:t>
      </w:r>
    </w:p>
    <w:p w14:paraId="7E826B99" w14:textId="77777777" w:rsidR="00D219EF" w:rsidRPr="00183434" w:rsidRDefault="00D219EF" w:rsidP="00183434">
      <w:pPr>
        <w:jc w:val="both"/>
        <w:rPr>
          <w:rFonts w:cs="Arial"/>
          <w:sz w:val="23"/>
          <w:szCs w:val="23"/>
        </w:rPr>
      </w:pPr>
    </w:p>
    <w:tbl>
      <w:tblPr>
        <w:tblW w:w="0" w:type="auto"/>
        <w:tblLayout w:type="fixed"/>
        <w:tblLook w:val="0000" w:firstRow="0" w:lastRow="0" w:firstColumn="0" w:lastColumn="0" w:noHBand="0" w:noVBand="0"/>
      </w:tblPr>
      <w:tblGrid>
        <w:gridCol w:w="1526"/>
        <w:gridCol w:w="2331"/>
        <w:gridCol w:w="236"/>
        <w:gridCol w:w="4427"/>
      </w:tblGrid>
      <w:tr w:rsidR="00D219EF" w:rsidRPr="00183434" w14:paraId="11A6900D" w14:textId="77777777" w:rsidTr="003C6937">
        <w:tc>
          <w:tcPr>
            <w:tcW w:w="1526" w:type="dxa"/>
          </w:tcPr>
          <w:p w14:paraId="6C66BF38" w14:textId="77777777" w:rsidR="00D219EF" w:rsidRPr="00183434" w:rsidRDefault="00D219EF" w:rsidP="00183434">
            <w:pPr>
              <w:jc w:val="both"/>
              <w:rPr>
                <w:rFonts w:cs="Arial"/>
                <w:b/>
                <w:sz w:val="23"/>
                <w:szCs w:val="23"/>
              </w:rPr>
            </w:pPr>
          </w:p>
          <w:p w14:paraId="3CC2C440" w14:textId="77777777" w:rsidR="00D219EF" w:rsidRPr="00183434" w:rsidRDefault="00D219EF" w:rsidP="00183434">
            <w:pPr>
              <w:jc w:val="both"/>
              <w:rPr>
                <w:rFonts w:cs="Arial"/>
                <w:b/>
                <w:sz w:val="23"/>
                <w:szCs w:val="23"/>
              </w:rPr>
            </w:pPr>
            <w:r w:rsidRPr="00183434">
              <w:rPr>
                <w:rFonts w:cs="Arial"/>
                <w:b/>
                <w:sz w:val="23"/>
                <w:szCs w:val="23"/>
              </w:rPr>
              <w:t>Signed:</w:t>
            </w:r>
          </w:p>
          <w:p w14:paraId="16EF9D4D" w14:textId="77777777" w:rsidR="00D219EF" w:rsidRPr="00183434" w:rsidRDefault="00D219EF" w:rsidP="00183434">
            <w:pPr>
              <w:jc w:val="both"/>
              <w:rPr>
                <w:rFonts w:cs="Arial"/>
                <w:b/>
                <w:sz w:val="23"/>
                <w:szCs w:val="23"/>
              </w:rPr>
            </w:pPr>
          </w:p>
          <w:p w14:paraId="0172427B" w14:textId="77777777" w:rsidR="00D219EF" w:rsidRPr="00183434" w:rsidRDefault="00D219EF" w:rsidP="00183434">
            <w:pPr>
              <w:jc w:val="both"/>
              <w:rPr>
                <w:rFonts w:cs="Arial"/>
                <w:b/>
                <w:sz w:val="23"/>
                <w:szCs w:val="23"/>
              </w:rPr>
            </w:pPr>
          </w:p>
          <w:p w14:paraId="176D224E" w14:textId="77777777" w:rsidR="00D219EF" w:rsidRPr="00183434" w:rsidRDefault="00D219EF" w:rsidP="00183434">
            <w:pPr>
              <w:jc w:val="both"/>
              <w:rPr>
                <w:rFonts w:cs="Arial"/>
                <w:b/>
                <w:sz w:val="23"/>
                <w:szCs w:val="23"/>
              </w:rPr>
            </w:pPr>
          </w:p>
          <w:p w14:paraId="50C9D7F6" w14:textId="77777777" w:rsidR="00D219EF" w:rsidRPr="00183434" w:rsidRDefault="00D219EF" w:rsidP="00183434">
            <w:pPr>
              <w:jc w:val="both"/>
              <w:rPr>
                <w:rFonts w:cs="Arial"/>
                <w:b/>
                <w:sz w:val="23"/>
                <w:szCs w:val="23"/>
              </w:rPr>
            </w:pPr>
          </w:p>
          <w:p w14:paraId="6A6EE499" w14:textId="77777777" w:rsidR="00D219EF" w:rsidRPr="00183434" w:rsidRDefault="00D219EF" w:rsidP="00183434">
            <w:pPr>
              <w:jc w:val="both"/>
              <w:rPr>
                <w:rFonts w:cs="Arial"/>
                <w:b/>
                <w:sz w:val="23"/>
                <w:szCs w:val="23"/>
              </w:rPr>
            </w:pPr>
          </w:p>
          <w:p w14:paraId="3B44BD37" w14:textId="77777777" w:rsidR="00D219EF" w:rsidRPr="00183434" w:rsidRDefault="00D219EF" w:rsidP="00183434">
            <w:pPr>
              <w:jc w:val="both"/>
              <w:rPr>
                <w:rFonts w:cs="Arial"/>
                <w:b/>
                <w:sz w:val="23"/>
                <w:szCs w:val="23"/>
              </w:rPr>
            </w:pPr>
          </w:p>
          <w:p w14:paraId="571BB594" w14:textId="77777777" w:rsidR="00D219EF" w:rsidRPr="00183434" w:rsidRDefault="00D219EF" w:rsidP="00183434">
            <w:pPr>
              <w:jc w:val="both"/>
              <w:rPr>
                <w:rFonts w:cs="Arial"/>
                <w:b/>
                <w:sz w:val="23"/>
                <w:szCs w:val="23"/>
              </w:rPr>
            </w:pPr>
          </w:p>
          <w:p w14:paraId="5D11DD5C" w14:textId="77777777" w:rsidR="00D219EF" w:rsidRPr="00183434" w:rsidRDefault="00D219EF" w:rsidP="00183434">
            <w:pPr>
              <w:jc w:val="both"/>
              <w:rPr>
                <w:rFonts w:cs="Arial"/>
                <w:b/>
                <w:sz w:val="23"/>
                <w:szCs w:val="23"/>
              </w:rPr>
            </w:pPr>
          </w:p>
        </w:tc>
        <w:tc>
          <w:tcPr>
            <w:tcW w:w="2331" w:type="dxa"/>
            <w:tcBorders>
              <w:bottom w:val="single" w:sz="4" w:space="0" w:color="auto"/>
            </w:tcBorders>
          </w:tcPr>
          <w:p w14:paraId="1165F029" w14:textId="77777777" w:rsidR="00D219EF" w:rsidRPr="00183434" w:rsidRDefault="00D219EF" w:rsidP="00183434">
            <w:pPr>
              <w:jc w:val="both"/>
              <w:rPr>
                <w:rFonts w:cs="Arial"/>
                <w:sz w:val="23"/>
                <w:szCs w:val="23"/>
              </w:rPr>
            </w:pPr>
          </w:p>
          <w:p w14:paraId="0EBB114A" w14:textId="77777777" w:rsidR="00D219EF" w:rsidRPr="00183434" w:rsidRDefault="00D219EF" w:rsidP="00183434">
            <w:pPr>
              <w:jc w:val="both"/>
              <w:rPr>
                <w:rFonts w:cs="Arial"/>
                <w:sz w:val="23"/>
                <w:szCs w:val="23"/>
              </w:rPr>
            </w:pPr>
          </w:p>
          <w:p w14:paraId="399306CB" w14:textId="77777777" w:rsidR="00D219EF" w:rsidRPr="00183434" w:rsidRDefault="00D219EF" w:rsidP="00183434">
            <w:pPr>
              <w:jc w:val="both"/>
              <w:rPr>
                <w:rFonts w:cs="Arial"/>
                <w:sz w:val="23"/>
                <w:szCs w:val="23"/>
              </w:rPr>
            </w:pPr>
          </w:p>
          <w:p w14:paraId="58787B74" w14:textId="77777777" w:rsidR="00D219EF" w:rsidRPr="00183434" w:rsidRDefault="00D219EF" w:rsidP="00183434">
            <w:pPr>
              <w:jc w:val="both"/>
              <w:rPr>
                <w:rFonts w:cs="Arial"/>
                <w:sz w:val="23"/>
                <w:szCs w:val="23"/>
              </w:rPr>
            </w:pPr>
          </w:p>
          <w:p w14:paraId="2124E596" w14:textId="77777777" w:rsidR="00D219EF" w:rsidRPr="00183434" w:rsidRDefault="00D219EF" w:rsidP="00183434">
            <w:pPr>
              <w:jc w:val="both"/>
              <w:rPr>
                <w:rFonts w:cs="Arial"/>
                <w:sz w:val="23"/>
                <w:szCs w:val="23"/>
              </w:rPr>
            </w:pPr>
          </w:p>
          <w:p w14:paraId="1F887A2B" w14:textId="77777777" w:rsidR="00D219EF" w:rsidRPr="00183434" w:rsidRDefault="00D219EF" w:rsidP="00183434">
            <w:pPr>
              <w:jc w:val="both"/>
              <w:rPr>
                <w:rFonts w:cs="Arial"/>
                <w:sz w:val="23"/>
                <w:szCs w:val="23"/>
              </w:rPr>
            </w:pPr>
          </w:p>
        </w:tc>
        <w:tc>
          <w:tcPr>
            <w:tcW w:w="236" w:type="dxa"/>
          </w:tcPr>
          <w:p w14:paraId="51C392D2" w14:textId="77777777" w:rsidR="00D219EF" w:rsidRPr="00183434" w:rsidRDefault="00D219EF" w:rsidP="00183434">
            <w:pPr>
              <w:jc w:val="both"/>
              <w:rPr>
                <w:rFonts w:cs="Arial"/>
                <w:sz w:val="23"/>
                <w:szCs w:val="23"/>
              </w:rPr>
            </w:pPr>
          </w:p>
        </w:tc>
        <w:tc>
          <w:tcPr>
            <w:tcW w:w="4427" w:type="dxa"/>
            <w:tcBorders>
              <w:bottom w:val="single" w:sz="4" w:space="0" w:color="auto"/>
            </w:tcBorders>
          </w:tcPr>
          <w:p w14:paraId="56E45BE7" w14:textId="77777777" w:rsidR="00D219EF" w:rsidRPr="00183434" w:rsidRDefault="00D219EF" w:rsidP="00183434">
            <w:pPr>
              <w:jc w:val="both"/>
              <w:rPr>
                <w:rFonts w:cs="Arial"/>
                <w:sz w:val="23"/>
                <w:szCs w:val="23"/>
              </w:rPr>
            </w:pPr>
          </w:p>
        </w:tc>
      </w:tr>
      <w:tr w:rsidR="00D219EF" w:rsidRPr="00183434" w14:paraId="7EC6DBDB" w14:textId="77777777" w:rsidTr="003C6937">
        <w:tc>
          <w:tcPr>
            <w:tcW w:w="1526" w:type="dxa"/>
          </w:tcPr>
          <w:p w14:paraId="3DF1021D" w14:textId="77777777" w:rsidR="00D219EF" w:rsidRPr="00183434" w:rsidRDefault="00D219EF" w:rsidP="00183434">
            <w:pPr>
              <w:jc w:val="both"/>
              <w:rPr>
                <w:rFonts w:cs="Arial"/>
                <w:sz w:val="23"/>
                <w:szCs w:val="23"/>
              </w:rPr>
            </w:pPr>
          </w:p>
        </w:tc>
        <w:tc>
          <w:tcPr>
            <w:tcW w:w="2331" w:type="dxa"/>
          </w:tcPr>
          <w:p w14:paraId="61EADFA2" w14:textId="77777777" w:rsidR="00D219EF" w:rsidRPr="00183434" w:rsidRDefault="00D219EF" w:rsidP="00183434">
            <w:pPr>
              <w:jc w:val="both"/>
              <w:rPr>
                <w:rFonts w:cs="Arial"/>
                <w:sz w:val="23"/>
                <w:szCs w:val="23"/>
              </w:rPr>
            </w:pPr>
            <w:r w:rsidRPr="00183434">
              <w:rPr>
                <w:rFonts w:cs="Arial"/>
                <w:sz w:val="23"/>
                <w:szCs w:val="23"/>
              </w:rPr>
              <w:t>C M Durrant</w:t>
            </w:r>
          </w:p>
          <w:p w14:paraId="0A924689" w14:textId="77777777" w:rsidR="00D219EF" w:rsidRPr="00183434" w:rsidRDefault="00D219EF" w:rsidP="00183434">
            <w:pPr>
              <w:jc w:val="both"/>
              <w:rPr>
                <w:rFonts w:cs="Arial"/>
                <w:sz w:val="23"/>
                <w:szCs w:val="23"/>
              </w:rPr>
            </w:pPr>
            <w:r w:rsidRPr="00183434">
              <w:rPr>
                <w:rFonts w:cs="Arial"/>
                <w:sz w:val="23"/>
                <w:szCs w:val="23"/>
              </w:rPr>
              <w:t>Chief Executive</w:t>
            </w:r>
          </w:p>
        </w:tc>
        <w:tc>
          <w:tcPr>
            <w:tcW w:w="236" w:type="dxa"/>
          </w:tcPr>
          <w:p w14:paraId="28A8B2D6" w14:textId="77777777" w:rsidR="00D219EF" w:rsidRPr="00183434" w:rsidRDefault="00D219EF" w:rsidP="00183434">
            <w:pPr>
              <w:jc w:val="both"/>
              <w:rPr>
                <w:rFonts w:cs="Arial"/>
                <w:sz w:val="23"/>
                <w:szCs w:val="23"/>
              </w:rPr>
            </w:pPr>
          </w:p>
        </w:tc>
        <w:tc>
          <w:tcPr>
            <w:tcW w:w="4427" w:type="dxa"/>
          </w:tcPr>
          <w:p w14:paraId="6AE19701" w14:textId="77777777" w:rsidR="00D219EF" w:rsidRPr="00183434" w:rsidRDefault="00D219EF" w:rsidP="00183434">
            <w:pPr>
              <w:jc w:val="both"/>
              <w:rPr>
                <w:rFonts w:cs="Arial"/>
                <w:sz w:val="23"/>
                <w:szCs w:val="23"/>
              </w:rPr>
            </w:pPr>
            <w:r w:rsidRPr="00183434">
              <w:rPr>
                <w:rFonts w:cs="Arial"/>
                <w:sz w:val="23"/>
                <w:szCs w:val="23"/>
              </w:rPr>
              <w:t>Councillor P A Gilby</w:t>
            </w:r>
          </w:p>
          <w:p w14:paraId="6B6AE457" w14:textId="77777777" w:rsidR="00D219EF" w:rsidRPr="00183434" w:rsidRDefault="00D219EF" w:rsidP="00183434">
            <w:pPr>
              <w:jc w:val="both"/>
              <w:rPr>
                <w:rFonts w:cs="Arial"/>
                <w:sz w:val="23"/>
                <w:szCs w:val="23"/>
              </w:rPr>
            </w:pPr>
            <w:r w:rsidRPr="00183434">
              <w:rPr>
                <w:rFonts w:cs="Arial"/>
                <w:sz w:val="23"/>
                <w:szCs w:val="23"/>
              </w:rPr>
              <w:t>Leader of Chesterfield Borough Council</w:t>
            </w:r>
          </w:p>
        </w:tc>
      </w:tr>
      <w:tr w:rsidR="00D219EF" w:rsidRPr="00183434" w14:paraId="20ED77DF" w14:textId="77777777" w:rsidTr="003C6937">
        <w:tc>
          <w:tcPr>
            <w:tcW w:w="1526" w:type="dxa"/>
          </w:tcPr>
          <w:p w14:paraId="2DED634F" w14:textId="77777777" w:rsidR="00D219EF" w:rsidRPr="00183434" w:rsidRDefault="00D219EF" w:rsidP="00183434">
            <w:pPr>
              <w:jc w:val="both"/>
              <w:rPr>
                <w:rFonts w:cs="Arial"/>
                <w:b/>
                <w:sz w:val="23"/>
                <w:szCs w:val="23"/>
              </w:rPr>
            </w:pPr>
          </w:p>
          <w:p w14:paraId="0707A631" w14:textId="77777777" w:rsidR="00D219EF" w:rsidRPr="00183434" w:rsidRDefault="00D219EF" w:rsidP="00183434">
            <w:pPr>
              <w:jc w:val="both"/>
              <w:rPr>
                <w:rFonts w:cs="Arial"/>
                <w:b/>
                <w:sz w:val="23"/>
                <w:szCs w:val="23"/>
              </w:rPr>
            </w:pPr>
            <w:r w:rsidRPr="00183434">
              <w:rPr>
                <w:rFonts w:cs="Arial"/>
                <w:b/>
                <w:sz w:val="23"/>
                <w:szCs w:val="23"/>
              </w:rPr>
              <w:t>Date:</w:t>
            </w:r>
          </w:p>
        </w:tc>
        <w:tc>
          <w:tcPr>
            <w:tcW w:w="2331" w:type="dxa"/>
          </w:tcPr>
          <w:p w14:paraId="4B7F6D22" w14:textId="77777777" w:rsidR="00D219EF" w:rsidRPr="00183434" w:rsidRDefault="00D219EF" w:rsidP="00183434">
            <w:pPr>
              <w:jc w:val="both"/>
              <w:rPr>
                <w:rFonts w:cs="Arial"/>
                <w:sz w:val="23"/>
                <w:szCs w:val="23"/>
              </w:rPr>
            </w:pPr>
          </w:p>
        </w:tc>
        <w:tc>
          <w:tcPr>
            <w:tcW w:w="236" w:type="dxa"/>
          </w:tcPr>
          <w:p w14:paraId="728A8831" w14:textId="77777777" w:rsidR="00D219EF" w:rsidRPr="00183434" w:rsidRDefault="00D219EF" w:rsidP="00183434">
            <w:pPr>
              <w:jc w:val="both"/>
              <w:rPr>
                <w:rFonts w:cs="Arial"/>
                <w:sz w:val="23"/>
                <w:szCs w:val="23"/>
              </w:rPr>
            </w:pPr>
          </w:p>
        </w:tc>
        <w:tc>
          <w:tcPr>
            <w:tcW w:w="4427" w:type="dxa"/>
          </w:tcPr>
          <w:p w14:paraId="4797ADA5" w14:textId="77777777" w:rsidR="00D219EF" w:rsidRPr="00183434" w:rsidRDefault="00D219EF" w:rsidP="00183434">
            <w:pPr>
              <w:jc w:val="both"/>
              <w:rPr>
                <w:rFonts w:cs="Arial"/>
                <w:sz w:val="23"/>
                <w:szCs w:val="23"/>
              </w:rPr>
            </w:pPr>
          </w:p>
        </w:tc>
      </w:tr>
    </w:tbl>
    <w:p w14:paraId="511C7330" w14:textId="77777777" w:rsidR="00D219EF" w:rsidRPr="00183434" w:rsidRDefault="00D219EF" w:rsidP="00183434">
      <w:pPr>
        <w:jc w:val="both"/>
        <w:rPr>
          <w:rFonts w:cs="Arial"/>
          <w:color w:val="FF0000"/>
          <w:sz w:val="23"/>
          <w:szCs w:val="23"/>
        </w:rPr>
      </w:pPr>
    </w:p>
    <w:p w14:paraId="4B7BD5B9" w14:textId="77777777" w:rsidR="00D219EF" w:rsidRPr="00183434" w:rsidRDefault="00D219EF" w:rsidP="00183434">
      <w:pPr>
        <w:tabs>
          <w:tab w:val="left" w:pos="-720"/>
        </w:tabs>
        <w:suppressAutoHyphens/>
        <w:jc w:val="both"/>
        <w:rPr>
          <w:rFonts w:cs="Arial"/>
          <w:color w:val="FF0000"/>
          <w:sz w:val="23"/>
          <w:szCs w:val="23"/>
        </w:rPr>
      </w:pPr>
    </w:p>
    <w:p w14:paraId="68C2F983" w14:textId="77777777" w:rsidR="00D219EF" w:rsidRPr="00183434" w:rsidRDefault="00D219EF" w:rsidP="00183434">
      <w:pPr>
        <w:tabs>
          <w:tab w:val="left" w:pos="-720"/>
        </w:tabs>
        <w:suppressAutoHyphens/>
        <w:jc w:val="both"/>
        <w:rPr>
          <w:rFonts w:cs="Arial"/>
          <w:color w:val="FF0000"/>
          <w:sz w:val="23"/>
          <w:szCs w:val="23"/>
        </w:rPr>
      </w:pPr>
    </w:p>
    <w:p w14:paraId="1AEB1898" w14:textId="77777777" w:rsidR="00D219EF" w:rsidRPr="00183434" w:rsidRDefault="00D219EF" w:rsidP="00183434">
      <w:pPr>
        <w:tabs>
          <w:tab w:val="left" w:pos="-720"/>
        </w:tabs>
        <w:suppressAutoHyphens/>
        <w:jc w:val="both"/>
        <w:rPr>
          <w:rFonts w:cs="Arial"/>
          <w:b/>
          <w:color w:val="FF0000"/>
          <w:sz w:val="23"/>
          <w:szCs w:val="23"/>
        </w:rPr>
      </w:pPr>
      <w:r w:rsidRPr="00183434">
        <w:rPr>
          <w:rFonts w:cs="Arial"/>
          <w:b/>
          <w:sz w:val="23"/>
          <w:szCs w:val="23"/>
        </w:rPr>
        <w:t>On behalf of Chesterfield Borough</w:t>
      </w:r>
    </w:p>
    <w:p w14:paraId="481B3850" w14:textId="77777777" w:rsidR="00D219EF" w:rsidRPr="00183434" w:rsidRDefault="00D219EF" w:rsidP="00183434">
      <w:pPr>
        <w:keepNext/>
        <w:jc w:val="both"/>
        <w:outlineLvl w:val="1"/>
        <w:rPr>
          <w:rFonts w:cs="Arial"/>
          <w:b/>
          <w:color w:val="FF0000"/>
          <w:sz w:val="23"/>
          <w:szCs w:val="23"/>
        </w:rPr>
      </w:pPr>
    </w:p>
    <w:p w14:paraId="574C3EA3" w14:textId="77777777" w:rsidR="00D219EF" w:rsidRPr="00183434" w:rsidRDefault="00D219EF" w:rsidP="00183434">
      <w:pPr>
        <w:keepNext/>
        <w:jc w:val="both"/>
        <w:outlineLvl w:val="1"/>
        <w:rPr>
          <w:rFonts w:cs="Arial"/>
          <w:b/>
          <w:color w:val="FF0000"/>
          <w:sz w:val="23"/>
          <w:szCs w:val="23"/>
        </w:rPr>
      </w:pPr>
    </w:p>
    <w:p w14:paraId="230BCA6F" w14:textId="77777777" w:rsidR="00D219EF" w:rsidRPr="00183434" w:rsidRDefault="00D219EF" w:rsidP="00183434">
      <w:pPr>
        <w:keepNext/>
        <w:jc w:val="both"/>
        <w:outlineLvl w:val="1"/>
        <w:rPr>
          <w:rFonts w:cs="Arial"/>
          <w:b/>
          <w:color w:val="FF0000"/>
          <w:sz w:val="23"/>
          <w:szCs w:val="23"/>
        </w:rPr>
      </w:pPr>
    </w:p>
    <w:p w14:paraId="1661C849" w14:textId="77777777" w:rsidR="00D219EF" w:rsidRPr="00183434" w:rsidRDefault="00D219EF" w:rsidP="00183434">
      <w:pPr>
        <w:jc w:val="both"/>
        <w:rPr>
          <w:rFonts w:cs="Arial"/>
          <w:sz w:val="23"/>
          <w:szCs w:val="23"/>
        </w:rPr>
      </w:pPr>
    </w:p>
    <w:p w14:paraId="404D68B1" w14:textId="77777777" w:rsidR="00D219EF" w:rsidRPr="00183434" w:rsidRDefault="00D219EF" w:rsidP="00183434">
      <w:pPr>
        <w:jc w:val="both"/>
        <w:rPr>
          <w:rFonts w:cs="Arial"/>
          <w:sz w:val="23"/>
          <w:szCs w:val="23"/>
        </w:rPr>
      </w:pPr>
    </w:p>
    <w:p w14:paraId="74B635C6" w14:textId="77777777" w:rsidR="00D219EF" w:rsidRPr="00183434" w:rsidRDefault="00D219EF" w:rsidP="00183434">
      <w:pPr>
        <w:jc w:val="both"/>
        <w:rPr>
          <w:rFonts w:cs="Arial"/>
          <w:sz w:val="23"/>
          <w:szCs w:val="23"/>
        </w:rPr>
      </w:pPr>
    </w:p>
    <w:p w14:paraId="24E1FD1B" w14:textId="77777777" w:rsidR="00D219EF" w:rsidRPr="00183434" w:rsidRDefault="00D219EF" w:rsidP="00183434">
      <w:pPr>
        <w:jc w:val="both"/>
        <w:rPr>
          <w:rFonts w:cs="Arial"/>
          <w:sz w:val="23"/>
          <w:szCs w:val="23"/>
        </w:rPr>
      </w:pPr>
    </w:p>
    <w:p w14:paraId="7D49C3FB" w14:textId="77777777" w:rsidR="00D219EF" w:rsidRPr="00183434" w:rsidRDefault="00D219EF" w:rsidP="00183434">
      <w:pPr>
        <w:jc w:val="both"/>
        <w:rPr>
          <w:rFonts w:cs="Arial"/>
          <w:sz w:val="23"/>
          <w:szCs w:val="23"/>
        </w:rPr>
      </w:pPr>
    </w:p>
    <w:p w14:paraId="4FB696D5" w14:textId="77777777" w:rsidR="00D219EF" w:rsidRPr="00183434" w:rsidRDefault="00D219EF" w:rsidP="00183434">
      <w:pPr>
        <w:jc w:val="both"/>
        <w:rPr>
          <w:rFonts w:cs="Arial"/>
          <w:sz w:val="23"/>
          <w:szCs w:val="23"/>
        </w:rPr>
      </w:pPr>
    </w:p>
    <w:p w14:paraId="0D39E737" w14:textId="77777777" w:rsidR="00D219EF" w:rsidRPr="00183434" w:rsidRDefault="00D219EF" w:rsidP="00183434">
      <w:pPr>
        <w:jc w:val="both"/>
        <w:rPr>
          <w:rFonts w:cs="Arial"/>
          <w:sz w:val="23"/>
          <w:szCs w:val="23"/>
        </w:rPr>
      </w:pPr>
    </w:p>
    <w:p w14:paraId="0167ED3F" w14:textId="77777777" w:rsidR="00D219EF" w:rsidRPr="00183434" w:rsidRDefault="00D219EF" w:rsidP="00183434">
      <w:pPr>
        <w:jc w:val="both"/>
        <w:rPr>
          <w:rFonts w:cs="Arial"/>
          <w:sz w:val="23"/>
          <w:szCs w:val="23"/>
        </w:rPr>
      </w:pPr>
    </w:p>
    <w:p w14:paraId="0B052936" w14:textId="77777777" w:rsidR="00D219EF" w:rsidRPr="00183434" w:rsidRDefault="00D219EF" w:rsidP="00183434">
      <w:pPr>
        <w:jc w:val="both"/>
        <w:rPr>
          <w:rFonts w:cs="Arial"/>
          <w:sz w:val="23"/>
          <w:szCs w:val="23"/>
        </w:rPr>
      </w:pPr>
    </w:p>
    <w:p w14:paraId="3078C95F" w14:textId="77777777" w:rsidR="00183434" w:rsidRDefault="00183434">
      <w:pPr>
        <w:rPr>
          <w:rFonts w:cs="Arial"/>
          <w:b/>
          <w:bCs/>
          <w:sz w:val="23"/>
          <w:szCs w:val="23"/>
        </w:rPr>
      </w:pPr>
      <w:r>
        <w:rPr>
          <w:rFonts w:cs="Arial"/>
          <w:b/>
          <w:bCs/>
          <w:sz w:val="23"/>
          <w:szCs w:val="23"/>
        </w:rPr>
        <w:br w:type="page"/>
      </w:r>
    </w:p>
    <w:p w14:paraId="600AAD3F" w14:textId="7989A480" w:rsidR="00D219EF" w:rsidRPr="00183434" w:rsidRDefault="00D219EF" w:rsidP="00183434">
      <w:pPr>
        <w:jc w:val="both"/>
        <w:rPr>
          <w:rFonts w:cs="Arial"/>
          <w:b/>
          <w:bCs/>
          <w:sz w:val="23"/>
          <w:szCs w:val="23"/>
        </w:rPr>
      </w:pPr>
      <w:r w:rsidRPr="00183434">
        <w:rPr>
          <w:rFonts w:cs="Arial"/>
          <w:b/>
          <w:bCs/>
          <w:sz w:val="23"/>
          <w:szCs w:val="23"/>
        </w:rPr>
        <w:lastRenderedPageBreak/>
        <w:t>Scope of Responsibility</w:t>
      </w:r>
    </w:p>
    <w:p w14:paraId="14A52ACF" w14:textId="77777777" w:rsidR="00D219EF" w:rsidRPr="00183434" w:rsidRDefault="00D219EF" w:rsidP="00183434">
      <w:pPr>
        <w:jc w:val="both"/>
        <w:rPr>
          <w:rFonts w:cs="Arial"/>
          <w:sz w:val="23"/>
          <w:szCs w:val="23"/>
        </w:rPr>
      </w:pPr>
    </w:p>
    <w:p w14:paraId="1F680BFC" w14:textId="77777777" w:rsidR="00D219EF" w:rsidRPr="00183434" w:rsidRDefault="00D219EF" w:rsidP="00183434">
      <w:pPr>
        <w:jc w:val="both"/>
        <w:rPr>
          <w:rFonts w:cs="Arial"/>
          <w:sz w:val="23"/>
          <w:szCs w:val="23"/>
        </w:rPr>
      </w:pPr>
      <w:r w:rsidRPr="00183434">
        <w:rPr>
          <w:rFonts w:cs="Arial"/>
          <w:sz w:val="23"/>
          <w:szCs w:val="23"/>
        </w:rPr>
        <w:t xml:space="preserve">Chesterfield Borough Council is responsible for ensuring that its business is conducted in accordance with the law and proper standards, and that public money is safeguarded and properly accounted for, and used economically, efficiently and effectively.  The Council also has a duty under the Local Government Act 1999 to </w:t>
      </w:r>
      <w:proofErr w:type="gramStart"/>
      <w:r w:rsidRPr="00183434">
        <w:rPr>
          <w:rFonts w:cs="Arial"/>
          <w:sz w:val="23"/>
          <w:szCs w:val="23"/>
        </w:rPr>
        <w:t>make arrangements</w:t>
      </w:r>
      <w:proofErr w:type="gramEnd"/>
      <w:r w:rsidRPr="00183434">
        <w:rPr>
          <w:rFonts w:cs="Arial"/>
          <w:sz w:val="23"/>
          <w:szCs w:val="23"/>
        </w:rPr>
        <w:t xml:space="preserve"> to secure continuous improvement in the way in which its functions are exercised, having regard to a combination of economy, efficiency and effectiveness.</w:t>
      </w:r>
    </w:p>
    <w:p w14:paraId="75A092A4" w14:textId="77777777" w:rsidR="00D219EF" w:rsidRPr="00183434" w:rsidRDefault="00D219EF" w:rsidP="00183434">
      <w:pPr>
        <w:jc w:val="both"/>
        <w:rPr>
          <w:rFonts w:cs="Arial"/>
          <w:sz w:val="23"/>
          <w:szCs w:val="23"/>
        </w:rPr>
      </w:pPr>
    </w:p>
    <w:p w14:paraId="2C26A473" w14:textId="77777777" w:rsidR="00D219EF" w:rsidRPr="00183434" w:rsidRDefault="00D219EF" w:rsidP="00183434">
      <w:pPr>
        <w:jc w:val="both"/>
        <w:rPr>
          <w:rFonts w:cs="Arial"/>
          <w:sz w:val="23"/>
          <w:szCs w:val="23"/>
        </w:rPr>
      </w:pPr>
      <w:r w:rsidRPr="00183434">
        <w:rPr>
          <w:rFonts w:cs="Arial"/>
          <w:sz w:val="23"/>
          <w:szCs w:val="23"/>
        </w:rPr>
        <w:t>In discharging this overall responsibility, the Council is responsible for putting in place proper arrangements for the governance of its affairs and facilitating the effective exercise of its functions, including arrangements for the management of risk.</w:t>
      </w:r>
    </w:p>
    <w:p w14:paraId="617FA7D1" w14:textId="77777777" w:rsidR="00D219EF" w:rsidRPr="00183434" w:rsidRDefault="00D219EF" w:rsidP="00183434">
      <w:pPr>
        <w:jc w:val="both"/>
        <w:rPr>
          <w:rFonts w:cs="Arial"/>
          <w:color w:val="FF0000"/>
          <w:sz w:val="23"/>
          <w:szCs w:val="23"/>
        </w:rPr>
      </w:pPr>
    </w:p>
    <w:p w14:paraId="7955E72C" w14:textId="77777777" w:rsidR="00D219EF" w:rsidRPr="00183434" w:rsidRDefault="00D219EF" w:rsidP="00183434">
      <w:pPr>
        <w:jc w:val="both"/>
        <w:rPr>
          <w:rFonts w:cs="Arial"/>
          <w:sz w:val="23"/>
          <w:szCs w:val="23"/>
        </w:rPr>
      </w:pPr>
      <w:r w:rsidRPr="00183434">
        <w:rPr>
          <w:rFonts w:cs="Arial"/>
          <w:sz w:val="23"/>
          <w:szCs w:val="23"/>
        </w:rPr>
        <w:t xml:space="preserve">Chesterfield Borough Council has approved and adopted a code of corporate governance, which is consistent with the principles of the CIPFA / SOLACE Framework </w:t>
      </w:r>
      <w:r w:rsidRPr="00183434">
        <w:rPr>
          <w:rFonts w:cs="Arial"/>
          <w:i/>
          <w:sz w:val="23"/>
          <w:szCs w:val="23"/>
        </w:rPr>
        <w:t xml:space="preserve">Delivering Good Governance in Local Government Framework 2016 edition </w:t>
      </w:r>
      <w:r w:rsidRPr="00183434">
        <w:rPr>
          <w:rFonts w:cs="Arial"/>
          <w:iCs/>
          <w:sz w:val="23"/>
          <w:szCs w:val="23"/>
        </w:rPr>
        <w:t>and the CIPFA Addendum 2025 covering the Annual Review of Governance and the Annual Governance Statement.</w:t>
      </w:r>
      <w:r w:rsidRPr="00183434">
        <w:rPr>
          <w:rFonts w:cs="Arial"/>
          <w:sz w:val="23"/>
          <w:szCs w:val="23"/>
        </w:rPr>
        <w:t xml:space="preserve"> This Statement explains how the Council has complied with the code and meets the requirements of Accounts and Audit (England) Regulations 2015 which requires all relevant bodies to prepare an annual governance statement.</w:t>
      </w:r>
    </w:p>
    <w:p w14:paraId="6F92728D" w14:textId="77777777" w:rsidR="00D219EF" w:rsidRPr="00183434" w:rsidRDefault="00D219EF" w:rsidP="00183434">
      <w:pPr>
        <w:jc w:val="both"/>
        <w:rPr>
          <w:rFonts w:cs="Arial"/>
          <w:color w:val="FF0000"/>
          <w:sz w:val="23"/>
          <w:szCs w:val="23"/>
        </w:rPr>
      </w:pPr>
    </w:p>
    <w:p w14:paraId="604176E5" w14:textId="77777777" w:rsidR="00D219EF" w:rsidRPr="00183434" w:rsidRDefault="00D219EF" w:rsidP="00183434">
      <w:pPr>
        <w:keepNext/>
        <w:jc w:val="both"/>
        <w:outlineLvl w:val="1"/>
        <w:rPr>
          <w:rFonts w:cs="Arial"/>
          <w:b/>
          <w:sz w:val="23"/>
          <w:szCs w:val="23"/>
        </w:rPr>
      </w:pPr>
      <w:r w:rsidRPr="00183434">
        <w:rPr>
          <w:rFonts w:cs="Arial"/>
          <w:b/>
          <w:sz w:val="23"/>
          <w:szCs w:val="23"/>
        </w:rPr>
        <w:t>The purpose of the governance framework</w:t>
      </w:r>
    </w:p>
    <w:p w14:paraId="4A7B09C8" w14:textId="77777777" w:rsidR="00D219EF" w:rsidRPr="00183434" w:rsidRDefault="00D219EF" w:rsidP="00183434">
      <w:pPr>
        <w:jc w:val="both"/>
        <w:rPr>
          <w:rFonts w:cs="Arial"/>
          <w:sz w:val="23"/>
          <w:szCs w:val="23"/>
        </w:rPr>
      </w:pPr>
    </w:p>
    <w:p w14:paraId="6D330848" w14:textId="77777777" w:rsidR="00D219EF" w:rsidRPr="00183434" w:rsidRDefault="00D219EF" w:rsidP="00183434">
      <w:pPr>
        <w:jc w:val="both"/>
        <w:rPr>
          <w:rFonts w:cs="Arial"/>
          <w:sz w:val="23"/>
          <w:szCs w:val="23"/>
        </w:rPr>
      </w:pPr>
      <w:r w:rsidRPr="00183434">
        <w:rPr>
          <w:rFonts w:cs="Arial"/>
          <w:sz w:val="23"/>
          <w:szCs w:val="23"/>
        </w:rPr>
        <w:t>The governance framework comprises the systems and processes, culture and values, by which the authority is directed and controlled and its activities through which it accounts to, engages with and leads its communities.  It enables the authority to monitor the achievement of its strategic objectives and to consider whether those objectives have led to the delivery of appropriate services and value for money.</w:t>
      </w:r>
    </w:p>
    <w:p w14:paraId="59D1AF0F" w14:textId="77777777" w:rsidR="00D219EF" w:rsidRPr="00183434" w:rsidRDefault="00D219EF" w:rsidP="00183434">
      <w:pPr>
        <w:jc w:val="both"/>
        <w:rPr>
          <w:rFonts w:cs="Arial"/>
          <w:sz w:val="23"/>
          <w:szCs w:val="23"/>
        </w:rPr>
      </w:pPr>
    </w:p>
    <w:p w14:paraId="5C35CADC" w14:textId="77777777" w:rsidR="00D219EF" w:rsidRPr="00183434" w:rsidRDefault="00D219EF" w:rsidP="00183434">
      <w:pPr>
        <w:jc w:val="both"/>
        <w:rPr>
          <w:rFonts w:cs="Arial"/>
          <w:sz w:val="23"/>
          <w:szCs w:val="23"/>
        </w:rPr>
      </w:pPr>
      <w:r w:rsidRPr="00183434">
        <w:rPr>
          <w:rFonts w:cs="Arial"/>
          <w:sz w:val="23"/>
          <w:szCs w:val="23"/>
        </w:rPr>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and potential impact of those risks being realised and to manage them efficiently, effectively and economically.</w:t>
      </w:r>
    </w:p>
    <w:p w14:paraId="16B42FCB" w14:textId="77777777" w:rsidR="00D219EF" w:rsidRPr="00183434" w:rsidRDefault="00D219EF" w:rsidP="00183434">
      <w:pPr>
        <w:jc w:val="both"/>
        <w:rPr>
          <w:rFonts w:cs="Arial"/>
          <w:sz w:val="23"/>
          <w:szCs w:val="23"/>
        </w:rPr>
      </w:pPr>
    </w:p>
    <w:p w14:paraId="199A385E" w14:textId="77777777" w:rsidR="00D219EF" w:rsidRPr="00183434" w:rsidRDefault="00D219EF" w:rsidP="00183434">
      <w:pPr>
        <w:jc w:val="both"/>
        <w:rPr>
          <w:rFonts w:cs="Arial"/>
          <w:sz w:val="23"/>
          <w:szCs w:val="23"/>
        </w:rPr>
      </w:pPr>
      <w:r w:rsidRPr="00183434">
        <w:rPr>
          <w:rFonts w:cs="Arial"/>
          <w:sz w:val="23"/>
          <w:szCs w:val="23"/>
        </w:rPr>
        <w:t>The governance framework has been in place at the Council for the year ended 31</w:t>
      </w:r>
      <w:r w:rsidRPr="00183434">
        <w:rPr>
          <w:rFonts w:cs="Arial"/>
          <w:sz w:val="23"/>
          <w:szCs w:val="23"/>
          <w:vertAlign w:val="superscript"/>
        </w:rPr>
        <w:t>st</w:t>
      </w:r>
      <w:r w:rsidRPr="00183434">
        <w:rPr>
          <w:rFonts w:cs="Arial"/>
          <w:sz w:val="23"/>
          <w:szCs w:val="23"/>
        </w:rPr>
        <w:t xml:space="preserve"> March 2026 and up to the date of approval of the Statement of Accounts.</w:t>
      </w:r>
    </w:p>
    <w:p w14:paraId="4C713BC6" w14:textId="77777777" w:rsidR="00D219EF" w:rsidRPr="00183434" w:rsidRDefault="00D219EF" w:rsidP="00183434">
      <w:pPr>
        <w:jc w:val="both"/>
        <w:rPr>
          <w:rFonts w:cs="Arial"/>
          <w:sz w:val="23"/>
          <w:szCs w:val="23"/>
        </w:rPr>
      </w:pPr>
    </w:p>
    <w:p w14:paraId="2F0EFBAA" w14:textId="77777777" w:rsidR="00D219EF" w:rsidRPr="00183434" w:rsidRDefault="00D219EF" w:rsidP="00183434">
      <w:pPr>
        <w:jc w:val="both"/>
        <w:rPr>
          <w:rFonts w:cs="Arial"/>
          <w:color w:val="FF0000"/>
          <w:sz w:val="23"/>
          <w:szCs w:val="23"/>
        </w:rPr>
      </w:pPr>
    </w:p>
    <w:p w14:paraId="6CD96F56" w14:textId="77777777" w:rsidR="00D219EF" w:rsidRPr="00183434" w:rsidRDefault="00D219EF" w:rsidP="00183434">
      <w:pPr>
        <w:keepNext/>
        <w:jc w:val="both"/>
        <w:outlineLvl w:val="1"/>
        <w:rPr>
          <w:rFonts w:cs="Arial"/>
          <w:b/>
          <w:sz w:val="23"/>
          <w:szCs w:val="23"/>
        </w:rPr>
      </w:pPr>
      <w:r w:rsidRPr="00183434">
        <w:rPr>
          <w:rFonts w:cs="Arial"/>
          <w:b/>
          <w:sz w:val="23"/>
          <w:szCs w:val="23"/>
        </w:rPr>
        <w:t>Our Assessment of Effectiveness</w:t>
      </w:r>
    </w:p>
    <w:p w14:paraId="6C913A7D" w14:textId="77777777" w:rsidR="00D219EF" w:rsidRPr="00183434" w:rsidRDefault="00D219EF" w:rsidP="00183434">
      <w:pPr>
        <w:jc w:val="both"/>
        <w:rPr>
          <w:rFonts w:cs="Arial"/>
          <w:color w:val="FF0000"/>
          <w:sz w:val="23"/>
          <w:szCs w:val="23"/>
        </w:rPr>
      </w:pPr>
    </w:p>
    <w:p w14:paraId="1A7DBE2E" w14:textId="77777777" w:rsidR="00D219EF" w:rsidRPr="00183434" w:rsidRDefault="00D219EF" w:rsidP="00183434">
      <w:pPr>
        <w:jc w:val="both"/>
        <w:rPr>
          <w:rFonts w:cs="Arial"/>
          <w:sz w:val="23"/>
          <w:szCs w:val="23"/>
        </w:rPr>
      </w:pPr>
      <w:r w:rsidRPr="00183434">
        <w:rPr>
          <w:rFonts w:cs="Arial"/>
          <w:sz w:val="23"/>
          <w:szCs w:val="23"/>
        </w:rPr>
        <w:t>The Council has responsibility for conducting, at least annually, a review of the effectiveness of its governance framework including the system of internal control.  The review of effectiveness is informed by the work of Corporate Leadership Team within the authority who have responsibility for the development and maintenance of the governance environment, the Head of Internal Audit’s annual report and conclusion, and by comments made by the external auditors and other review agencies and inspectorates.</w:t>
      </w:r>
    </w:p>
    <w:p w14:paraId="64F5AC6C" w14:textId="77777777" w:rsidR="00D219EF" w:rsidRPr="00183434" w:rsidRDefault="00D219EF" w:rsidP="00183434">
      <w:pPr>
        <w:jc w:val="both"/>
        <w:rPr>
          <w:rFonts w:cs="Arial"/>
          <w:sz w:val="23"/>
          <w:szCs w:val="23"/>
        </w:rPr>
      </w:pPr>
    </w:p>
    <w:p w14:paraId="3FE4908A" w14:textId="77777777" w:rsidR="00D219EF" w:rsidRPr="00183434" w:rsidRDefault="00D219EF" w:rsidP="00183434">
      <w:pPr>
        <w:jc w:val="both"/>
        <w:rPr>
          <w:rFonts w:cs="Arial"/>
          <w:sz w:val="23"/>
          <w:szCs w:val="23"/>
        </w:rPr>
      </w:pPr>
      <w:r w:rsidRPr="00183434">
        <w:rPr>
          <w:rFonts w:cs="Arial"/>
          <w:sz w:val="23"/>
          <w:szCs w:val="23"/>
        </w:rPr>
        <w:t>The processes that have been applied in maintaining and reviewing the effectiveness of the governance framework include:</w:t>
      </w:r>
    </w:p>
    <w:p w14:paraId="3E89C7CA" w14:textId="77777777" w:rsidR="00D219EF" w:rsidRPr="00183434" w:rsidRDefault="00D219EF" w:rsidP="00183434">
      <w:pPr>
        <w:jc w:val="both"/>
        <w:rPr>
          <w:rFonts w:cs="Arial"/>
          <w:sz w:val="23"/>
          <w:szCs w:val="23"/>
        </w:rPr>
      </w:pPr>
    </w:p>
    <w:p w14:paraId="46C25910" w14:textId="77777777" w:rsidR="00D219EF" w:rsidRPr="00183434" w:rsidRDefault="00D219EF" w:rsidP="00183434">
      <w:pPr>
        <w:numPr>
          <w:ilvl w:val="0"/>
          <w:numId w:val="19"/>
        </w:numPr>
        <w:tabs>
          <w:tab w:val="num" w:pos="1080"/>
        </w:tabs>
        <w:ind w:left="1080"/>
        <w:jc w:val="both"/>
        <w:rPr>
          <w:rFonts w:cs="Arial"/>
          <w:sz w:val="23"/>
          <w:szCs w:val="23"/>
        </w:rPr>
      </w:pPr>
      <w:r w:rsidRPr="00183434">
        <w:rPr>
          <w:rFonts w:cs="Arial"/>
          <w:sz w:val="23"/>
          <w:szCs w:val="23"/>
        </w:rPr>
        <w:t>Internal audit reviews of the governance, risk and control arrangements in place in accordance with the agreed internal audit plan.</w:t>
      </w:r>
    </w:p>
    <w:p w14:paraId="28DF9BFF"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lastRenderedPageBreak/>
        <w:t>Monitoring Officer reviews and monitoring of the operation of the Council’s Constitution.</w:t>
      </w:r>
    </w:p>
    <w:p w14:paraId="25704FAB"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The work of the Risk Management Group.</w:t>
      </w:r>
    </w:p>
    <w:p w14:paraId="60AD1847"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The Chief Financial Officer providing the Council and the leadership team, with financial reports and financial advice covering the whole range of Council activities.</w:t>
      </w:r>
    </w:p>
    <w:p w14:paraId="6B894EBB" w14:textId="77777777" w:rsidR="00D219EF" w:rsidRPr="00183434" w:rsidRDefault="00D219EF" w:rsidP="00183434">
      <w:pPr>
        <w:numPr>
          <w:ilvl w:val="0"/>
          <w:numId w:val="20"/>
        </w:numPr>
        <w:tabs>
          <w:tab w:val="clear" w:pos="360"/>
          <w:tab w:val="num" w:pos="1080"/>
        </w:tabs>
        <w:ind w:left="1080"/>
        <w:jc w:val="both"/>
        <w:rPr>
          <w:rFonts w:cs="Arial"/>
          <w:b/>
          <w:sz w:val="23"/>
          <w:szCs w:val="23"/>
        </w:rPr>
      </w:pPr>
      <w:r w:rsidRPr="00183434">
        <w:rPr>
          <w:rFonts w:cs="Arial"/>
          <w:sz w:val="23"/>
          <w:szCs w:val="23"/>
        </w:rPr>
        <w:t>Reviews by external agencies such as the Council’s external auditor and the Social Housing Regulator.</w:t>
      </w:r>
    </w:p>
    <w:p w14:paraId="0D9E4E34"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 xml:space="preserve">The work of the Council’s Standards and Audit Committee. </w:t>
      </w:r>
    </w:p>
    <w:p w14:paraId="0D2AD485"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The annual review of compliance with the Local Code of Corporate Governance.</w:t>
      </w:r>
    </w:p>
    <w:p w14:paraId="3F27AB90"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Reports received and considered by Cabinet in relation to the outcome of reviews by the external auditor and other review agencies.</w:t>
      </w:r>
    </w:p>
    <w:p w14:paraId="6FED8475"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Annual reports from committee chairs</w:t>
      </w:r>
    </w:p>
    <w:p w14:paraId="05FF71D8"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Performance reports on the delivery of the Council Plan</w:t>
      </w:r>
    </w:p>
    <w:p w14:paraId="33BF3054" w14:textId="77777777" w:rsidR="00D219EF" w:rsidRPr="00183434" w:rsidRDefault="00D219EF" w:rsidP="00183434">
      <w:pPr>
        <w:numPr>
          <w:ilvl w:val="0"/>
          <w:numId w:val="20"/>
        </w:numPr>
        <w:tabs>
          <w:tab w:val="clear" w:pos="360"/>
          <w:tab w:val="num" w:pos="1080"/>
        </w:tabs>
        <w:ind w:left="1080"/>
        <w:jc w:val="both"/>
        <w:rPr>
          <w:rFonts w:cs="Arial"/>
          <w:sz w:val="23"/>
          <w:szCs w:val="23"/>
        </w:rPr>
      </w:pPr>
      <w:r w:rsidRPr="00183434">
        <w:rPr>
          <w:rFonts w:cs="Arial"/>
          <w:sz w:val="23"/>
          <w:szCs w:val="23"/>
        </w:rPr>
        <w:t>ISO 27001 accreditation – confirmation that the Council manages data security risks effectively</w:t>
      </w:r>
    </w:p>
    <w:p w14:paraId="48ADDD95" w14:textId="77777777" w:rsidR="00D219EF" w:rsidRPr="00183434" w:rsidRDefault="00D219EF" w:rsidP="00183434">
      <w:pPr>
        <w:jc w:val="both"/>
        <w:rPr>
          <w:rFonts w:cs="Arial"/>
          <w:color w:val="FF0000"/>
          <w:sz w:val="23"/>
          <w:szCs w:val="23"/>
        </w:rPr>
      </w:pPr>
    </w:p>
    <w:p w14:paraId="511A7984" w14:textId="77777777" w:rsidR="00D219EF" w:rsidRPr="00183434" w:rsidRDefault="00D219EF" w:rsidP="00183434">
      <w:pPr>
        <w:jc w:val="both"/>
        <w:rPr>
          <w:rFonts w:cs="Arial"/>
          <w:color w:val="FF0000"/>
          <w:sz w:val="23"/>
          <w:szCs w:val="23"/>
        </w:rPr>
      </w:pPr>
    </w:p>
    <w:p w14:paraId="7FB4955D" w14:textId="77777777" w:rsidR="00D219EF" w:rsidRPr="00183434" w:rsidRDefault="00D219EF" w:rsidP="00183434">
      <w:pPr>
        <w:keepNext/>
        <w:jc w:val="both"/>
        <w:outlineLvl w:val="1"/>
        <w:rPr>
          <w:rFonts w:cs="Arial"/>
          <w:b/>
          <w:sz w:val="23"/>
          <w:szCs w:val="23"/>
        </w:rPr>
      </w:pPr>
      <w:r w:rsidRPr="00183434">
        <w:rPr>
          <w:rFonts w:cs="Arial"/>
          <w:b/>
          <w:sz w:val="23"/>
          <w:szCs w:val="23"/>
        </w:rPr>
        <w:t>The governance framework</w:t>
      </w:r>
    </w:p>
    <w:p w14:paraId="4DD31DE0" w14:textId="77777777" w:rsidR="00D219EF" w:rsidRPr="00183434" w:rsidRDefault="00D219EF" w:rsidP="00183434">
      <w:pPr>
        <w:jc w:val="both"/>
        <w:rPr>
          <w:rFonts w:cs="Arial"/>
          <w:color w:val="FF0000"/>
          <w:sz w:val="23"/>
          <w:szCs w:val="23"/>
        </w:rPr>
      </w:pPr>
    </w:p>
    <w:p w14:paraId="372DF56A" w14:textId="77777777" w:rsidR="00D219EF" w:rsidRPr="00183434" w:rsidRDefault="00D219EF" w:rsidP="00183434">
      <w:pPr>
        <w:jc w:val="both"/>
        <w:rPr>
          <w:rFonts w:cs="Arial"/>
          <w:color w:val="FF0000"/>
          <w:sz w:val="23"/>
          <w:szCs w:val="23"/>
        </w:rPr>
      </w:pPr>
      <w:r w:rsidRPr="00183434">
        <w:rPr>
          <w:rFonts w:cs="Arial"/>
          <w:sz w:val="23"/>
          <w:szCs w:val="23"/>
        </w:rPr>
        <w:t xml:space="preserve">The Council Plan 2023 -2027 has been refreshed and extended to 2028 to align with the proposed timetable for local government reorganisation. The proposed timetable in Derby and </w:t>
      </w:r>
      <w:r w:rsidRPr="00183434">
        <w:rPr>
          <w:rFonts w:cs="Arial"/>
          <w:color w:val="000000"/>
          <w:sz w:val="23"/>
          <w:szCs w:val="23"/>
        </w:rPr>
        <w:t xml:space="preserve">Derbyshire means that all local authorities in Derbyshire will cease to exist on the 31.03.28 and new authorities will be formed on the 01.04.28. </w:t>
      </w:r>
      <w:r w:rsidRPr="00183434">
        <w:rPr>
          <w:rFonts w:cs="Arial"/>
          <w:color w:val="FF0000"/>
          <w:sz w:val="23"/>
          <w:szCs w:val="23"/>
        </w:rPr>
        <w:t xml:space="preserve">  </w:t>
      </w:r>
    </w:p>
    <w:p w14:paraId="792CB194" w14:textId="77777777" w:rsidR="00D219EF" w:rsidRPr="00183434" w:rsidRDefault="00D219EF" w:rsidP="00183434">
      <w:pPr>
        <w:jc w:val="both"/>
        <w:rPr>
          <w:rFonts w:cs="Arial"/>
          <w:color w:val="FF0000"/>
          <w:sz w:val="23"/>
          <w:szCs w:val="23"/>
        </w:rPr>
      </w:pPr>
    </w:p>
    <w:p w14:paraId="42A5854F" w14:textId="77777777" w:rsidR="00D219EF" w:rsidRPr="00183434" w:rsidRDefault="00D219EF" w:rsidP="00183434">
      <w:pPr>
        <w:jc w:val="both"/>
        <w:rPr>
          <w:rFonts w:cs="Arial"/>
          <w:sz w:val="23"/>
          <w:szCs w:val="23"/>
        </w:rPr>
      </w:pPr>
      <w:r w:rsidRPr="00183434">
        <w:rPr>
          <w:rFonts w:cs="Arial"/>
          <w:sz w:val="23"/>
          <w:szCs w:val="23"/>
        </w:rPr>
        <w:t xml:space="preserve">The Council Plan identifies the Council’s key priorities and aspirations over a </w:t>
      </w:r>
      <w:proofErr w:type="gramStart"/>
      <w:r w:rsidRPr="00183434">
        <w:rPr>
          <w:rFonts w:cs="Arial"/>
          <w:sz w:val="23"/>
          <w:szCs w:val="23"/>
        </w:rPr>
        <w:t>five year</w:t>
      </w:r>
      <w:proofErr w:type="gramEnd"/>
      <w:r w:rsidRPr="00183434">
        <w:rPr>
          <w:rFonts w:cs="Arial"/>
          <w:sz w:val="23"/>
          <w:szCs w:val="23"/>
        </w:rPr>
        <w:t xml:space="preserve"> period. The</w:t>
      </w:r>
      <w:r w:rsidRPr="00183434">
        <w:rPr>
          <w:rFonts w:cs="Arial"/>
          <w:sz w:val="23"/>
          <w:szCs w:val="23"/>
          <w:lang w:eastAsia="en-US"/>
        </w:rPr>
        <w:t xml:space="preserve"> Council Plan is cascaded down through the Senior Leadership Team, Corporate Leadership Team, tier 4 managers meetings, service plans, budgets, the </w:t>
      </w:r>
      <w:proofErr w:type="gramStart"/>
      <w:r w:rsidRPr="00183434">
        <w:rPr>
          <w:rFonts w:cs="Arial"/>
          <w:sz w:val="23"/>
          <w:szCs w:val="23"/>
          <w:lang w:eastAsia="en-US"/>
        </w:rPr>
        <w:t>medium term</w:t>
      </w:r>
      <w:proofErr w:type="gramEnd"/>
      <w:r w:rsidRPr="00183434">
        <w:rPr>
          <w:rFonts w:cs="Arial"/>
          <w:sz w:val="23"/>
          <w:szCs w:val="23"/>
          <w:lang w:eastAsia="en-US"/>
        </w:rPr>
        <w:t xml:space="preserve"> financial plan, valuing individuals and performance reviews, managers weekly bulletins, team meetings and the aspire intranet.</w:t>
      </w:r>
      <w:r w:rsidRPr="00183434">
        <w:rPr>
          <w:rFonts w:cs="Arial"/>
          <w:sz w:val="23"/>
          <w:szCs w:val="23"/>
        </w:rPr>
        <w:t xml:space="preserve"> This flow ensures that resources are utilised for the achievement of the Council Plan and vision.</w:t>
      </w:r>
    </w:p>
    <w:p w14:paraId="62F7FBFE" w14:textId="77777777" w:rsidR="00D219EF" w:rsidRPr="00183434" w:rsidRDefault="00D219EF" w:rsidP="00183434">
      <w:pPr>
        <w:jc w:val="both"/>
        <w:rPr>
          <w:rFonts w:cs="Arial"/>
          <w:sz w:val="23"/>
          <w:szCs w:val="23"/>
          <w:lang w:eastAsia="en-US"/>
        </w:rPr>
      </w:pPr>
    </w:p>
    <w:p w14:paraId="5E8B2660" w14:textId="77777777" w:rsidR="00D219EF" w:rsidRPr="00183434" w:rsidRDefault="00D219EF" w:rsidP="00183434">
      <w:pPr>
        <w:jc w:val="both"/>
        <w:rPr>
          <w:rFonts w:cs="Arial"/>
          <w:sz w:val="23"/>
          <w:szCs w:val="23"/>
        </w:rPr>
      </w:pPr>
      <w:r w:rsidRPr="00183434">
        <w:rPr>
          <w:rFonts w:cs="Arial"/>
          <w:sz w:val="23"/>
          <w:szCs w:val="23"/>
        </w:rPr>
        <w:t xml:space="preserve">The Council’s vision is “Putting our communities first”. Chesterfield Borough Council identifies and communicates the authority’s vision of its purpose and intended outcomes for citizens and service users via its Council Plan and Vision statement. </w:t>
      </w:r>
    </w:p>
    <w:p w14:paraId="1B4C0852" w14:textId="77777777" w:rsidR="00D219EF" w:rsidRPr="00183434" w:rsidRDefault="00D219EF" w:rsidP="00183434">
      <w:pPr>
        <w:jc w:val="both"/>
        <w:rPr>
          <w:rFonts w:cs="Arial"/>
          <w:sz w:val="23"/>
          <w:szCs w:val="23"/>
        </w:rPr>
      </w:pPr>
    </w:p>
    <w:p w14:paraId="4EE7E44A" w14:textId="77777777" w:rsidR="00D219EF" w:rsidRPr="00183434" w:rsidRDefault="00D219EF" w:rsidP="00183434">
      <w:pPr>
        <w:jc w:val="both"/>
        <w:rPr>
          <w:rFonts w:cs="Arial"/>
          <w:b/>
          <w:bCs/>
          <w:sz w:val="23"/>
          <w:szCs w:val="23"/>
        </w:rPr>
      </w:pPr>
      <w:r w:rsidRPr="00183434">
        <w:rPr>
          <w:rFonts w:cs="Arial"/>
          <w:b/>
          <w:bCs/>
          <w:sz w:val="23"/>
          <w:szCs w:val="23"/>
        </w:rPr>
        <w:t>The Council Plan consists of 3 priorities: -</w:t>
      </w:r>
    </w:p>
    <w:p w14:paraId="312DD50F" w14:textId="77777777" w:rsidR="00D219EF" w:rsidRPr="00183434" w:rsidRDefault="00D219EF" w:rsidP="00183434">
      <w:pPr>
        <w:jc w:val="both"/>
        <w:rPr>
          <w:rFonts w:cs="Arial"/>
          <w:b/>
          <w:bCs/>
          <w:sz w:val="23"/>
          <w:szCs w:val="23"/>
        </w:rPr>
      </w:pPr>
    </w:p>
    <w:p w14:paraId="465362B0" w14:textId="77777777" w:rsidR="00D219EF" w:rsidRPr="00183434" w:rsidRDefault="00D219EF" w:rsidP="00183434">
      <w:pPr>
        <w:ind w:left="720"/>
        <w:jc w:val="both"/>
        <w:rPr>
          <w:rFonts w:cs="Arial"/>
          <w:b/>
          <w:bCs/>
          <w:sz w:val="23"/>
          <w:szCs w:val="23"/>
        </w:rPr>
      </w:pPr>
      <w:r w:rsidRPr="00183434">
        <w:rPr>
          <w:rFonts w:cs="Arial"/>
          <w:b/>
          <w:bCs/>
          <w:sz w:val="23"/>
          <w:szCs w:val="23"/>
        </w:rPr>
        <w:t>To make Chesterfield a thriving borough</w:t>
      </w:r>
    </w:p>
    <w:p w14:paraId="07FDC34C" w14:textId="77777777" w:rsidR="00D219EF" w:rsidRPr="00183434" w:rsidRDefault="00D219EF" w:rsidP="00183434">
      <w:pPr>
        <w:ind w:left="720"/>
        <w:jc w:val="both"/>
        <w:rPr>
          <w:rFonts w:cs="Arial"/>
          <w:b/>
          <w:bCs/>
          <w:sz w:val="23"/>
          <w:szCs w:val="23"/>
        </w:rPr>
      </w:pPr>
      <w:r w:rsidRPr="00183434">
        <w:rPr>
          <w:rFonts w:cs="Arial"/>
          <w:b/>
          <w:bCs/>
          <w:sz w:val="23"/>
          <w:szCs w:val="23"/>
        </w:rPr>
        <w:t>To improve the quality of life for local people</w:t>
      </w:r>
    </w:p>
    <w:p w14:paraId="2D39E76B" w14:textId="77777777" w:rsidR="00D219EF" w:rsidRPr="00183434" w:rsidRDefault="00D219EF" w:rsidP="00183434">
      <w:pPr>
        <w:ind w:left="720"/>
        <w:jc w:val="both"/>
        <w:rPr>
          <w:rFonts w:cs="Arial"/>
          <w:b/>
          <w:bCs/>
          <w:sz w:val="23"/>
          <w:szCs w:val="23"/>
        </w:rPr>
      </w:pPr>
      <w:r w:rsidRPr="00183434">
        <w:rPr>
          <w:rFonts w:cs="Arial"/>
          <w:b/>
          <w:bCs/>
          <w:sz w:val="23"/>
          <w:szCs w:val="23"/>
        </w:rPr>
        <w:t>To build a more resilient council now and for the future</w:t>
      </w:r>
    </w:p>
    <w:p w14:paraId="216FBF2D" w14:textId="77777777" w:rsidR="00D219EF" w:rsidRPr="00183434" w:rsidRDefault="00D219EF" w:rsidP="00183434">
      <w:pPr>
        <w:jc w:val="both"/>
        <w:rPr>
          <w:rFonts w:cs="Arial"/>
          <w:color w:val="FF0000"/>
          <w:sz w:val="23"/>
          <w:szCs w:val="23"/>
        </w:rPr>
      </w:pPr>
    </w:p>
    <w:p w14:paraId="5705E9E1" w14:textId="77777777" w:rsidR="00D219EF" w:rsidRPr="00183434" w:rsidRDefault="00D219EF" w:rsidP="00183434">
      <w:pPr>
        <w:jc w:val="both"/>
        <w:rPr>
          <w:rFonts w:cs="Arial"/>
          <w:sz w:val="23"/>
          <w:szCs w:val="23"/>
        </w:rPr>
      </w:pPr>
      <w:r w:rsidRPr="00183434">
        <w:rPr>
          <w:rFonts w:cs="Arial"/>
          <w:sz w:val="23"/>
          <w:szCs w:val="23"/>
        </w:rPr>
        <w:t>The Council’s values reflect the way the council wants to achieve its vision, these are: -</w:t>
      </w:r>
    </w:p>
    <w:p w14:paraId="18EA2FFC" w14:textId="77777777" w:rsidR="00D219EF" w:rsidRPr="00183434" w:rsidRDefault="00D219EF" w:rsidP="00183434">
      <w:pPr>
        <w:jc w:val="both"/>
        <w:rPr>
          <w:rFonts w:cs="Arial"/>
          <w:sz w:val="23"/>
          <w:szCs w:val="23"/>
        </w:rPr>
      </w:pPr>
    </w:p>
    <w:p w14:paraId="6B3FA8D1" w14:textId="77777777" w:rsidR="00D219EF" w:rsidRPr="00183434" w:rsidRDefault="00D219EF" w:rsidP="00183434">
      <w:pPr>
        <w:jc w:val="both"/>
        <w:rPr>
          <w:rFonts w:cs="Arial"/>
          <w:sz w:val="23"/>
          <w:szCs w:val="23"/>
        </w:rPr>
      </w:pPr>
      <w:r w:rsidRPr="00183434">
        <w:rPr>
          <w:rFonts w:cs="Arial"/>
          <w:b/>
          <w:sz w:val="23"/>
          <w:szCs w:val="23"/>
        </w:rPr>
        <w:t>Customer focused</w:t>
      </w:r>
      <w:r w:rsidRPr="00183434">
        <w:rPr>
          <w:rFonts w:cs="Arial"/>
          <w:sz w:val="23"/>
          <w:szCs w:val="23"/>
        </w:rPr>
        <w:t>: delivering great customer service, meeting customer needs,</w:t>
      </w:r>
    </w:p>
    <w:p w14:paraId="043C44B4" w14:textId="77777777" w:rsidR="00D219EF" w:rsidRPr="00183434" w:rsidRDefault="00D219EF" w:rsidP="00183434">
      <w:pPr>
        <w:jc w:val="both"/>
        <w:rPr>
          <w:rFonts w:cs="Arial"/>
          <w:sz w:val="23"/>
          <w:szCs w:val="23"/>
        </w:rPr>
      </w:pPr>
      <w:r w:rsidRPr="00183434">
        <w:rPr>
          <w:rFonts w:cs="Arial"/>
          <w:b/>
          <w:sz w:val="23"/>
          <w:szCs w:val="23"/>
        </w:rPr>
        <w:t xml:space="preserve">Can </w:t>
      </w:r>
      <w:proofErr w:type="gramStart"/>
      <w:r w:rsidRPr="00183434">
        <w:rPr>
          <w:rFonts w:cs="Arial"/>
          <w:b/>
          <w:sz w:val="23"/>
          <w:szCs w:val="23"/>
        </w:rPr>
        <w:t>do</w:t>
      </w:r>
      <w:r w:rsidRPr="00183434">
        <w:rPr>
          <w:rFonts w:cs="Arial"/>
          <w:sz w:val="23"/>
          <w:szCs w:val="23"/>
        </w:rPr>
        <w:t>:</w:t>
      </w:r>
      <w:proofErr w:type="gramEnd"/>
      <w:r w:rsidRPr="00183434">
        <w:rPr>
          <w:rFonts w:cs="Arial"/>
          <w:sz w:val="23"/>
          <w:szCs w:val="23"/>
        </w:rPr>
        <w:t xml:space="preserve"> striving to make a difference by adopting a positive attitude,</w:t>
      </w:r>
    </w:p>
    <w:p w14:paraId="17245ABA" w14:textId="77777777" w:rsidR="00D219EF" w:rsidRPr="00183434" w:rsidRDefault="00D219EF" w:rsidP="00183434">
      <w:pPr>
        <w:jc w:val="both"/>
        <w:rPr>
          <w:rFonts w:cs="Arial"/>
          <w:sz w:val="23"/>
          <w:szCs w:val="23"/>
        </w:rPr>
      </w:pPr>
      <w:r w:rsidRPr="00183434">
        <w:rPr>
          <w:rFonts w:cs="Arial"/>
          <w:b/>
          <w:sz w:val="23"/>
          <w:szCs w:val="23"/>
        </w:rPr>
        <w:t>One council, one team</w:t>
      </w:r>
      <w:r w:rsidRPr="00183434">
        <w:rPr>
          <w:rFonts w:cs="Arial"/>
          <w:sz w:val="23"/>
          <w:szCs w:val="23"/>
        </w:rPr>
        <w:t>: proud of what we do, working together for the greater good,</w:t>
      </w:r>
    </w:p>
    <w:p w14:paraId="68B940EC" w14:textId="77777777" w:rsidR="00D219EF" w:rsidRPr="00183434" w:rsidRDefault="00D219EF" w:rsidP="00183434">
      <w:pPr>
        <w:jc w:val="both"/>
        <w:rPr>
          <w:rFonts w:cs="Arial"/>
          <w:sz w:val="23"/>
          <w:szCs w:val="23"/>
        </w:rPr>
      </w:pPr>
      <w:r w:rsidRPr="00183434">
        <w:rPr>
          <w:rFonts w:cs="Arial"/>
          <w:b/>
          <w:sz w:val="23"/>
          <w:szCs w:val="23"/>
        </w:rPr>
        <w:t>Honesty and respect</w:t>
      </w:r>
      <w:r w:rsidRPr="00183434">
        <w:rPr>
          <w:rFonts w:cs="Arial"/>
          <w:sz w:val="23"/>
          <w:szCs w:val="23"/>
        </w:rPr>
        <w:t>: embracing diversity and treating everyone fairly.</w:t>
      </w:r>
    </w:p>
    <w:p w14:paraId="25FC9625" w14:textId="77777777" w:rsidR="00D219EF" w:rsidRPr="00183434" w:rsidRDefault="00D219EF" w:rsidP="00183434">
      <w:pPr>
        <w:ind w:left="360"/>
        <w:jc w:val="both"/>
        <w:rPr>
          <w:rFonts w:cs="Arial"/>
          <w:sz w:val="23"/>
          <w:szCs w:val="23"/>
        </w:rPr>
      </w:pPr>
    </w:p>
    <w:p w14:paraId="6618DF4F" w14:textId="77777777" w:rsidR="00D219EF" w:rsidRPr="00183434" w:rsidRDefault="00D219EF" w:rsidP="00183434">
      <w:pPr>
        <w:jc w:val="both"/>
        <w:rPr>
          <w:rFonts w:cs="Arial"/>
          <w:b/>
          <w:bCs/>
          <w:sz w:val="23"/>
          <w:szCs w:val="23"/>
        </w:rPr>
      </w:pPr>
    </w:p>
    <w:p w14:paraId="633BB9AE" w14:textId="77777777" w:rsidR="00D219EF" w:rsidRPr="00183434" w:rsidRDefault="00D219EF" w:rsidP="00183434">
      <w:pPr>
        <w:jc w:val="both"/>
        <w:rPr>
          <w:rFonts w:cs="Arial"/>
          <w:b/>
          <w:bCs/>
          <w:sz w:val="23"/>
          <w:szCs w:val="23"/>
        </w:rPr>
      </w:pPr>
    </w:p>
    <w:p w14:paraId="054F3C34" w14:textId="77777777" w:rsidR="00D219EF" w:rsidRPr="00183434" w:rsidRDefault="00D219EF" w:rsidP="00183434">
      <w:pPr>
        <w:jc w:val="both"/>
        <w:rPr>
          <w:rFonts w:cs="Arial"/>
          <w:b/>
          <w:bCs/>
          <w:sz w:val="23"/>
          <w:szCs w:val="23"/>
        </w:rPr>
      </w:pPr>
    </w:p>
    <w:p w14:paraId="2B2B2079" w14:textId="77777777" w:rsidR="00183434" w:rsidRDefault="00183434">
      <w:pPr>
        <w:rPr>
          <w:rFonts w:cs="Arial"/>
          <w:b/>
          <w:bCs/>
          <w:sz w:val="23"/>
          <w:szCs w:val="23"/>
        </w:rPr>
      </w:pPr>
      <w:r>
        <w:rPr>
          <w:rFonts w:cs="Arial"/>
          <w:b/>
          <w:bCs/>
          <w:sz w:val="23"/>
          <w:szCs w:val="23"/>
        </w:rPr>
        <w:br w:type="page"/>
      </w:r>
    </w:p>
    <w:p w14:paraId="4BC55142" w14:textId="24D2198E" w:rsidR="00D219EF" w:rsidRPr="00183434" w:rsidRDefault="00D219EF" w:rsidP="00183434">
      <w:pPr>
        <w:jc w:val="both"/>
        <w:rPr>
          <w:rFonts w:cs="Arial"/>
          <w:b/>
          <w:bCs/>
          <w:sz w:val="23"/>
          <w:szCs w:val="23"/>
        </w:rPr>
      </w:pPr>
      <w:r w:rsidRPr="00183434">
        <w:rPr>
          <w:rFonts w:cs="Arial"/>
          <w:b/>
          <w:bCs/>
          <w:sz w:val="23"/>
          <w:szCs w:val="23"/>
        </w:rPr>
        <w:lastRenderedPageBreak/>
        <w:t>Governance Arrangements</w:t>
      </w:r>
    </w:p>
    <w:p w14:paraId="6BCB3DEC" w14:textId="77777777" w:rsidR="00D219EF" w:rsidRPr="00183434" w:rsidRDefault="00D219EF" w:rsidP="00183434">
      <w:pPr>
        <w:jc w:val="both"/>
        <w:rPr>
          <w:rFonts w:cs="Arial"/>
          <w:b/>
          <w:bCs/>
          <w:sz w:val="23"/>
          <w:szCs w:val="23"/>
        </w:rPr>
      </w:pPr>
    </w:p>
    <w:p w14:paraId="6F13649E" w14:textId="77777777" w:rsidR="00D219EF" w:rsidRPr="00183434" w:rsidRDefault="00D219EF" w:rsidP="00183434">
      <w:pPr>
        <w:jc w:val="both"/>
        <w:rPr>
          <w:rFonts w:cs="Arial"/>
          <w:sz w:val="23"/>
          <w:szCs w:val="23"/>
        </w:rPr>
      </w:pPr>
      <w:r w:rsidRPr="00183434">
        <w:rPr>
          <w:rFonts w:cs="Arial"/>
          <w:sz w:val="23"/>
          <w:szCs w:val="23"/>
        </w:rPr>
        <w:t>The Council consists of 40 elected Members. The Council has a Leader with Cabinet Model which includes the following roles:</w:t>
      </w:r>
    </w:p>
    <w:p w14:paraId="5607F22A"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Leader and Cabinet member for Economic Growth </w:t>
      </w:r>
    </w:p>
    <w:p w14:paraId="09E21D56"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Deputy Leader and Cabinet member for Finance and Asset Management </w:t>
      </w:r>
    </w:p>
    <w:p w14:paraId="428C2B2F"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Cabinet member for Climate Change, Planning and Environment </w:t>
      </w:r>
    </w:p>
    <w:p w14:paraId="166173BB"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Cabinet member for Town Centres and Visitor Economy </w:t>
      </w:r>
    </w:p>
    <w:p w14:paraId="33A1959D"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Cabinet member for Health and Wellbeing </w:t>
      </w:r>
    </w:p>
    <w:p w14:paraId="58F58937"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Cabinet member for Housing </w:t>
      </w:r>
    </w:p>
    <w:p w14:paraId="5E9DF35F"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Cabinet member for Governance </w:t>
      </w:r>
    </w:p>
    <w:p w14:paraId="6C8E6F08"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Cabinet member for Customers and Business Transformation </w:t>
      </w:r>
    </w:p>
    <w:p w14:paraId="2F4678D9" w14:textId="77777777" w:rsidR="00D219EF" w:rsidRPr="00183434" w:rsidRDefault="00D219EF" w:rsidP="00183434">
      <w:pPr>
        <w:pStyle w:val="ListParagraph"/>
        <w:numPr>
          <w:ilvl w:val="0"/>
          <w:numId w:val="50"/>
        </w:numPr>
        <w:spacing w:after="0" w:line="240" w:lineRule="auto"/>
        <w:ind w:left="360"/>
        <w:contextualSpacing/>
        <w:jc w:val="both"/>
        <w:rPr>
          <w:rFonts w:ascii="Arial" w:hAnsi="Arial" w:cs="Arial"/>
          <w:sz w:val="23"/>
          <w:szCs w:val="23"/>
        </w:rPr>
      </w:pPr>
      <w:r w:rsidRPr="00183434">
        <w:rPr>
          <w:rFonts w:ascii="Arial" w:hAnsi="Arial" w:cs="Arial"/>
          <w:sz w:val="23"/>
          <w:szCs w:val="23"/>
        </w:rPr>
        <w:t>Leader of the Opposition (no portfolio)</w:t>
      </w:r>
    </w:p>
    <w:p w14:paraId="3D96E8E2" w14:textId="77777777" w:rsidR="00D219EF" w:rsidRPr="00183434" w:rsidRDefault="00D219EF" w:rsidP="00183434">
      <w:pPr>
        <w:jc w:val="both"/>
        <w:rPr>
          <w:rFonts w:cs="Arial"/>
          <w:sz w:val="23"/>
          <w:szCs w:val="23"/>
        </w:rPr>
      </w:pPr>
    </w:p>
    <w:p w14:paraId="61710DF3" w14:textId="77777777" w:rsidR="00D219EF" w:rsidRPr="00183434" w:rsidRDefault="00D219EF" w:rsidP="00183434">
      <w:pPr>
        <w:jc w:val="both"/>
        <w:rPr>
          <w:rFonts w:cs="Arial"/>
          <w:b/>
          <w:bCs/>
          <w:i/>
          <w:iCs/>
          <w:sz w:val="23"/>
          <w:szCs w:val="23"/>
        </w:rPr>
      </w:pPr>
      <w:r w:rsidRPr="00183434">
        <w:rPr>
          <w:rFonts w:cs="Arial"/>
          <w:sz w:val="23"/>
          <w:szCs w:val="23"/>
        </w:rPr>
        <w:t xml:space="preserve">Arrangements for Overview and Scrutiny are in place with two Scrutiny Select Committees one for Communities and Economic Growth and one for Resilient Council.     </w:t>
      </w:r>
    </w:p>
    <w:p w14:paraId="49311A0A" w14:textId="77777777" w:rsidR="00D219EF" w:rsidRPr="00183434" w:rsidRDefault="00D219EF" w:rsidP="00183434">
      <w:pPr>
        <w:jc w:val="both"/>
        <w:rPr>
          <w:rFonts w:eastAsia="Calibri" w:cs="Arial"/>
          <w:sz w:val="23"/>
          <w:szCs w:val="23"/>
        </w:rPr>
      </w:pPr>
    </w:p>
    <w:p w14:paraId="7BC0C7A6" w14:textId="77777777" w:rsidR="00D219EF" w:rsidRPr="00183434" w:rsidRDefault="00D219EF" w:rsidP="00183434">
      <w:pPr>
        <w:shd w:val="clear" w:color="auto" w:fill="FFFFFF" w:themeFill="background1"/>
        <w:spacing w:before="100" w:beforeAutospacing="1" w:after="100" w:afterAutospacing="1"/>
        <w:jc w:val="both"/>
        <w:rPr>
          <w:rFonts w:cs="Arial"/>
          <w:sz w:val="23"/>
          <w:szCs w:val="23"/>
          <w:lang w:val="en-US"/>
        </w:rPr>
      </w:pPr>
      <w:r w:rsidRPr="00183434">
        <w:rPr>
          <w:rFonts w:cs="Arial"/>
          <w:sz w:val="23"/>
          <w:szCs w:val="23"/>
          <w:lang w:val="en-US"/>
        </w:rPr>
        <w:t>Chesterfield Borough Council has a formal Constitution in place that sets out how it operates, how decisions are made and the procedures which are followed to ensure that these are efficient, transparent and accountable to local people. In addition, the Constitution sets out the roles and responsibilities of Members and Senior Managers.</w:t>
      </w:r>
    </w:p>
    <w:p w14:paraId="2DB8193A" w14:textId="77777777" w:rsidR="00D219EF" w:rsidRPr="00183434" w:rsidRDefault="00D219EF" w:rsidP="00183434">
      <w:pPr>
        <w:numPr>
          <w:ilvl w:val="0"/>
          <w:numId w:val="40"/>
        </w:numPr>
        <w:shd w:val="clear" w:color="auto" w:fill="FFFFFF" w:themeFill="background1"/>
        <w:spacing w:before="100" w:beforeAutospacing="1" w:after="100" w:afterAutospacing="1"/>
        <w:jc w:val="both"/>
        <w:rPr>
          <w:rFonts w:cs="Arial"/>
          <w:sz w:val="23"/>
          <w:szCs w:val="23"/>
          <w:lang w:val="en-US"/>
        </w:rPr>
      </w:pPr>
      <w:r w:rsidRPr="00183434">
        <w:rPr>
          <w:rFonts w:cs="Arial"/>
          <w:b/>
          <w:bCs/>
          <w:sz w:val="23"/>
          <w:szCs w:val="23"/>
          <w:lang w:val="en-US"/>
        </w:rPr>
        <w:t>The Cabinet</w:t>
      </w:r>
      <w:r w:rsidRPr="00183434">
        <w:rPr>
          <w:rFonts w:cs="Arial"/>
          <w:sz w:val="23"/>
          <w:szCs w:val="23"/>
          <w:lang w:val="en-US"/>
        </w:rPr>
        <w:t xml:space="preserve"> is the part of the authority which is responsible for most </w:t>
      </w:r>
      <w:proofErr w:type="gramStart"/>
      <w:r w:rsidRPr="00183434">
        <w:rPr>
          <w:rFonts w:cs="Arial"/>
          <w:sz w:val="23"/>
          <w:szCs w:val="23"/>
          <w:lang w:val="en-US"/>
        </w:rPr>
        <w:t>day to day</w:t>
      </w:r>
      <w:proofErr w:type="gramEnd"/>
      <w:r w:rsidRPr="00183434">
        <w:rPr>
          <w:rFonts w:cs="Arial"/>
          <w:sz w:val="23"/>
          <w:szCs w:val="23"/>
          <w:lang w:val="en-US"/>
        </w:rPr>
        <w:t xml:space="preserve"> decisions. </w:t>
      </w:r>
    </w:p>
    <w:p w14:paraId="0AAC8B88" w14:textId="77777777" w:rsidR="00D219EF" w:rsidRPr="00183434" w:rsidRDefault="00D219EF" w:rsidP="00183434">
      <w:pPr>
        <w:numPr>
          <w:ilvl w:val="0"/>
          <w:numId w:val="40"/>
        </w:numPr>
        <w:shd w:val="clear" w:color="auto" w:fill="FFFFFF" w:themeFill="background1"/>
        <w:spacing w:before="100" w:beforeAutospacing="1" w:after="100" w:afterAutospacing="1"/>
        <w:jc w:val="both"/>
        <w:rPr>
          <w:rFonts w:cs="Arial"/>
          <w:sz w:val="23"/>
          <w:szCs w:val="23"/>
          <w:lang w:val="en-US"/>
        </w:rPr>
      </w:pPr>
      <w:r w:rsidRPr="00183434">
        <w:rPr>
          <w:rFonts w:cs="Arial"/>
          <w:b/>
          <w:bCs/>
          <w:sz w:val="23"/>
          <w:szCs w:val="23"/>
          <w:lang w:val="en-US"/>
        </w:rPr>
        <w:t>The Overview and Scrutiny committees</w:t>
      </w:r>
      <w:r w:rsidRPr="00183434">
        <w:rPr>
          <w:rFonts w:cs="Arial"/>
          <w:sz w:val="23"/>
          <w:szCs w:val="23"/>
          <w:lang w:val="en-US"/>
        </w:rPr>
        <w:t xml:space="preserve"> support the work of the Council utilising pre-decision scrutiny where possible. </w:t>
      </w:r>
    </w:p>
    <w:p w14:paraId="1871A27F" w14:textId="77777777" w:rsidR="00D219EF" w:rsidRPr="00183434" w:rsidRDefault="00D219EF" w:rsidP="00183434">
      <w:pPr>
        <w:numPr>
          <w:ilvl w:val="0"/>
          <w:numId w:val="40"/>
        </w:numPr>
        <w:shd w:val="clear" w:color="auto" w:fill="FFFFFF" w:themeFill="background1"/>
        <w:spacing w:before="100" w:beforeAutospacing="1" w:after="100" w:afterAutospacing="1"/>
        <w:jc w:val="both"/>
        <w:rPr>
          <w:rFonts w:cs="Arial"/>
          <w:sz w:val="23"/>
          <w:szCs w:val="23"/>
          <w:lang w:val="en-US"/>
        </w:rPr>
      </w:pPr>
      <w:r w:rsidRPr="00183434">
        <w:rPr>
          <w:rFonts w:cs="Arial"/>
          <w:b/>
          <w:bCs/>
          <w:sz w:val="23"/>
          <w:szCs w:val="23"/>
          <w:lang w:val="en-US"/>
        </w:rPr>
        <w:t>The Standards and Audit Committee</w:t>
      </w:r>
      <w:r w:rsidRPr="00183434">
        <w:rPr>
          <w:rFonts w:cs="Arial"/>
          <w:sz w:val="23"/>
          <w:szCs w:val="23"/>
          <w:lang w:val="en-US"/>
        </w:rPr>
        <w:t xml:space="preserve"> are responsible for maintaining and promoting high standards of conduct and for considering the effectiveness of the Council’s governance, risk management and control arrangements. The Committee also reviews reports from internal and external audit and other inspection agencies and seeks assurance that action has been taken where necessary. The Standards and Audit Committee comply with the Code of Practice for the Governance of Internal Audit in UK Local Government by providing appropriate oversight and support for internal audit.</w:t>
      </w:r>
    </w:p>
    <w:p w14:paraId="5A739D8E" w14:textId="77777777" w:rsidR="00D219EF" w:rsidRPr="00183434" w:rsidRDefault="00D219EF" w:rsidP="00183434">
      <w:pPr>
        <w:jc w:val="both"/>
        <w:rPr>
          <w:rFonts w:cs="Arial"/>
          <w:sz w:val="23"/>
          <w:szCs w:val="23"/>
        </w:rPr>
      </w:pPr>
    </w:p>
    <w:p w14:paraId="20702C00" w14:textId="77777777" w:rsidR="00D219EF" w:rsidRPr="00183434" w:rsidRDefault="00D219EF" w:rsidP="00183434">
      <w:pPr>
        <w:jc w:val="both"/>
        <w:rPr>
          <w:rFonts w:cs="Arial"/>
          <w:b/>
          <w:bCs/>
          <w:sz w:val="23"/>
          <w:szCs w:val="23"/>
        </w:rPr>
      </w:pPr>
      <w:r w:rsidRPr="00183434">
        <w:rPr>
          <w:rFonts w:cs="Arial"/>
          <w:b/>
          <w:bCs/>
          <w:sz w:val="23"/>
          <w:szCs w:val="23"/>
        </w:rPr>
        <w:t>Codes of Conduct / Standards</w:t>
      </w:r>
    </w:p>
    <w:p w14:paraId="0A54C68F" w14:textId="77777777" w:rsidR="00D219EF" w:rsidRPr="00183434" w:rsidRDefault="00D219EF" w:rsidP="00183434">
      <w:pPr>
        <w:jc w:val="both"/>
        <w:rPr>
          <w:rFonts w:cs="Arial"/>
          <w:sz w:val="23"/>
          <w:szCs w:val="23"/>
        </w:rPr>
      </w:pPr>
    </w:p>
    <w:p w14:paraId="71520528" w14:textId="77777777" w:rsidR="00D219EF" w:rsidRPr="00183434" w:rsidRDefault="00D219EF" w:rsidP="00183434">
      <w:pPr>
        <w:jc w:val="both"/>
        <w:rPr>
          <w:rFonts w:cs="Arial"/>
          <w:sz w:val="23"/>
          <w:szCs w:val="23"/>
        </w:rPr>
      </w:pPr>
      <w:r w:rsidRPr="00183434">
        <w:rPr>
          <w:rFonts w:cs="Arial"/>
          <w:sz w:val="23"/>
          <w:szCs w:val="23"/>
        </w:rPr>
        <w:t xml:space="preserve">Formal Codes of Conduct and registers of interests are in place for Members and Officers and form part of induction procedures. To further enhance these high standards the Council has in place: - </w:t>
      </w:r>
    </w:p>
    <w:p w14:paraId="729CCBFC" w14:textId="77777777" w:rsidR="00D219EF" w:rsidRPr="00183434" w:rsidRDefault="00D219EF" w:rsidP="00183434">
      <w:pPr>
        <w:jc w:val="both"/>
        <w:rPr>
          <w:rFonts w:cs="Arial"/>
          <w:sz w:val="23"/>
          <w:szCs w:val="23"/>
        </w:rPr>
      </w:pPr>
    </w:p>
    <w:p w14:paraId="044A7784" w14:textId="77777777" w:rsidR="00D219EF" w:rsidRPr="00183434" w:rsidRDefault="00D219EF" w:rsidP="00183434">
      <w:pPr>
        <w:pStyle w:val="ListParagraph"/>
        <w:numPr>
          <w:ilvl w:val="0"/>
          <w:numId w:val="53"/>
        </w:numPr>
        <w:spacing w:after="0" w:line="240" w:lineRule="auto"/>
        <w:contextualSpacing/>
        <w:jc w:val="both"/>
        <w:rPr>
          <w:rFonts w:ascii="Arial" w:hAnsi="Arial" w:cs="Arial"/>
          <w:sz w:val="23"/>
          <w:szCs w:val="23"/>
        </w:rPr>
      </w:pPr>
      <w:r w:rsidRPr="00183434">
        <w:rPr>
          <w:rFonts w:ascii="Arial" w:hAnsi="Arial" w:cs="Arial"/>
          <w:sz w:val="23"/>
          <w:szCs w:val="23"/>
        </w:rPr>
        <w:t>A Comments, Complaints and Compliments procedure.</w:t>
      </w:r>
    </w:p>
    <w:p w14:paraId="37D7A4E5" w14:textId="77777777" w:rsidR="00D219EF" w:rsidRPr="00183434" w:rsidRDefault="00D219EF" w:rsidP="00183434">
      <w:pPr>
        <w:pStyle w:val="ListParagraph"/>
        <w:numPr>
          <w:ilvl w:val="0"/>
          <w:numId w:val="53"/>
        </w:numPr>
        <w:spacing w:after="0" w:line="240" w:lineRule="auto"/>
        <w:contextualSpacing/>
        <w:jc w:val="both"/>
        <w:rPr>
          <w:rFonts w:ascii="Arial" w:hAnsi="Arial" w:cs="Arial"/>
          <w:sz w:val="23"/>
          <w:szCs w:val="23"/>
        </w:rPr>
      </w:pPr>
      <w:r w:rsidRPr="00183434">
        <w:rPr>
          <w:rFonts w:ascii="Arial" w:hAnsi="Arial" w:cs="Arial"/>
          <w:sz w:val="23"/>
          <w:szCs w:val="23"/>
        </w:rPr>
        <w:t>A Customer Services Charter.</w:t>
      </w:r>
    </w:p>
    <w:p w14:paraId="66DDC9E5" w14:textId="77777777" w:rsidR="00D219EF" w:rsidRPr="00183434" w:rsidRDefault="00D219EF" w:rsidP="00183434">
      <w:pPr>
        <w:jc w:val="both"/>
        <w:rPr>
          <w:rFonts w:cs="Arial"/>
          <w:sz w:val="23"/>
          <w:szCs w:val="23"/>
        </w:rPr>
      </w:pPr>
    </w:p>
    <w:p w14:paraId="659734D3" w14:textId="77777777" w:rsidR="00D219EF" w:rsidRPr="00183434" w:rsidRDefault="00D219EF" w:rsidP="00183434">
      <w:pPr>
        <w:jc w:val="both"/>
        <w:rPr>
          <w:rFonts w:cs="Arial"/>
          <w:b/>
          <w:bCs/>
          <w:sz w:val="23"/>
          <w:szCs w:val="23"/>
        </w:rPr>
      </w:pPr>
      <w:r w:rsidRPr="00183434">
        <w:rPr>
          <w:rFonts w:cs="Arial"/>
          <w:b/>
          <w:bCs/>
          <w:sz w:val="23"/>
          <w:szCs w:val="23"/>
        </w:rPr>
        <w:t>Anti- Fraud, Bribery and Corruption policy</w:t>
      </w:r>
    </w:p>
    <w:p w14:paraId="74D26C4C" w14:textId="77777777" w:rsidR="00D219EF" w:rsidRPr="00183434" w:rsidRDefault="00D219EF" w:rsidP="00183434">
      <w:pPr>
        <w:jc w:val="both"/>
        <w:rPr>
          <w:rFonts w:cs="Arial"/>
          <w:b/>
          <w:bCs/>
          <w:sz w:val="23"/>
          <w:szCs w:val="23"/>
        </w:rPr>
      </w:pPr>
    </w:p>
    <w:p w14:paraId="4791A428" w14:textId="77777777" w:rsidR="00D219EF" w:rsidRPr="00183434" w:rsidRDefault="00D219EF" w:rsidP="00183434">
      <w:pPr>
        <w:jc w:val="both"/>
        <w:rPr>
          <w:rFonts w:cs="Arial"/>
          <w:sz w:val="23"/>
          <w:szCs w:val="23"/>
        </w:rPr>
      </w:pPr>
      <w:r w:rsidRPr="00183434">
        <w:rPr>
          <w:rFonts w:cs="Arial"/>
          <w:sz w:val="23"/>
          <w:szCs w:val="23"/>
        </w:rPr>
        <w:t>Chesterfield Borough Council expects that both Members and Officers will demonstrate the highest standards of behaviour in the conduct of public business.</w:t>
      </w:r>
    </w:p>
    <w:p w14:paraId="395378CF" w14:textId="77777777" w:rsidR="00D219EF" w:rsidRPr="00183434" w:rsidRDefault="00D219EF" w:rsidP="00183434">
      <w:pPr>
        <w:jc w:val="both"/>
        <w:rPr>
          <w:rFonts w:cs="Arial"/>
          <w:sz w:val="23"/>
          <w:szCs w:val="23"/>
        </w:rPr>
      </w:pPr>
    </w:p>
    <w:p w14:paraId="524E74B7" w14:textId="77777777" w:rsidR="00D219EF" w:rsidRPr="00183434" w:rsidRDefault="00D219EF" w:rsidP="00183434">
      <w:pPr>
        <w:jc w:val="both"/>
        <w:rPr>
          <w:rFonts w:cs="Arial"/>
          <w:sz w:val="23"/>
          <w:szCs w:val="23"/>
        </w:rPr>
      </w:pPr>
      <w:r w:rsidRPr="00183434">
        <w:rPr>
          <w:rFonts w:cs="Arial"/>
          <w:sz w:val="23"/>
          <w:szCs w:val="23"/>
        </w:rPr>
        <w:t>In undertaking its functions and activities, the Council will not tolerate any form of fraud, corruption, bribery, abuse of position or other malpractice, whether it is attempted by persons or organisations within or external to the Council.</w:t>
      </w:r>
    </w:p>
    <w:p w14:paraId="26E07051" w14:textId="77777777" w:rsidR="00D219EF" w:rsidRPr="00183434" w:rsidRDefault="00D219EF" w:rsidP="00183434">
      <w:pPr>
        <w:jc w:val="both"/>
        <w:rPr>
          <w:rFonts w:cs="Arial"/>
          <w:sz w:val="23"/>
          <w:szCs w:val="23"/>
        </w:rPr>
      </w:pPr>
    </w:p>
    <w:p w14:paraId="0B41931E" w14:textId="77777777" w:rsidR="00D219EF" w:rsidRPr="00183434" w:rsidRDefault="00D219EF" w:rsidP="00183434">
      <w:pPr>
        <w:jc w:val="both"/>
        <w:rPr>
          <w:rFonts w:cs="Arial"/>
          <w:sz w:val="23"/>
          <w:szCs w:val="23"/>
        </w:rPr>
      </w:pPr>
      <w:r w:rsidRPr="00183434">
        <w:rPr>
          <w:rFonts w:cs="Arial"/>
          <w:sz w:val="23"/>
          <w:szCs w:val="23"/>
        </w:rPr>
        <w:lastRenderedPageBreak/>
        <w:t>The Council is committed to working in an open, honest and fair way and:</w:t>
      </w:r>
    </w:p>
    <w:p w14:paraId="6DB5A882" w14:textId="77777777" w:rsidR="00D219EF" w:rsidRPr="00183434" w:rsidRDefault="00D219EF" w:rsidP="00183434">
      <w:pPr>
        <w:ind w:left="284"/>
        <w:jc w:val="both"/>
        <w:rPr>
          <w:rFonts w:cs="Arial"/>
          <w:sz w:val="23"/>
          <w:szCs w:val="23"/>
        </w:rPr>
      </w:pPr>
    </w:p>
    <w:p w14:paraId="6D0E6F6C" w14:textId="77777777" w:rsidR="00D219EF" w:rsidRPr="00183434" w:rsidRDefault="00D219EF" w:rsidP="00183434">
      <w:pPr>
        <w:numPr>
          <w:ilvl w:val="0"/>
          <w:numId w:val="49"/>
        </w:numPr>
        <w:tabs>
          <w:tab w:val="clear" w:pos="720"/>
          <w:tab w:val="num" w:pos="284"/>
        </w:tabs>
        <w:ind w:left="426" w:hanging="142"/>
        <w:jc w:val="both"/>
        <w:rPr>
          <w:rFonts w:cs="Arial"/>
          <w:sz w:val="23"/>
          <w:szCs w:val="23"/>
        </w:rPr>
      </w:pPr>
      <w:r w:rsidRPr="00183434">
        <w:rPr>
          <w:rFonts w:cs="Arial"/>
          <w:sz w:val="23"/>
          <w:szCs w:val="23"/>
        </w:rPr>
        <w:t>Maintains a policy and culture characterised by zero tolerance of fraud and malpractice</w:t>
      </w:r>
    </w:p>
    <w:p w14:paraId="5DD56729" w14:textId="77777777" w:rsidR="00D219EF" w:rsidRPr="00183434" w:rsidRDefault="00D219EF" w:rsidP="00183434">
      <w:pPr>
        <w:numPr>
          <w:ilvl w:val="0"/>
          <w:numId w:val="49"/>
        </w:numPr>
        <w:tabs>
          <w:tab w:val="clear" w:pos="720"/>
          <w:tab w:val="num" w:pos="284"/>
        </w:tabs>
        <w:ind w:left="426" w:hanging="142"/>
        <w:jc w:val="both"/>
        <w:rPr>
          <w:rFonts w:cs="Arial"/>
          <w:sz w:val="23"/>
          <w:szCs w:val="23"/>
        </w:rPr>
      </w:pPr>
      <w:r w:rsidRPr="00183434">
        <w:rPr>
          <w:rFonts w:cs="Arial"/>
          <w:sz w:val="23"/>
          <w:szCs w:val="23"/>
        </w:rPr>
        <w:t>Encourages and promotes the prevention of fraud, bribery and corruption or other   malpractice.</w:t>
      </w:r>
    </w:p>
    <w:p w14:paraId="5EE38382" w14:textId="77777777" w:rsidR="00D219EF" w:rsidRPr="00183434" w:rsidRDefault="00D219EF" w:rsidP="00183434">
      <w:pPr>
        <w:numPr>
          <w:ilvl w:val="0"/>
          <w:numId w:val="49"/>
        </w:numPr>
        <w:tabs>
          <w:tab w:val="clear" w:pos="720"/>
          <w:tab w:val="num" w:pos="284"/>
        </w:tabs>
        <w:ind w:left="426" w:hanging="142"/>
        <w:jc w:val="both"/>
        <w:rPr>
          <w:rFonts w:cs="Arial"/>
          <w:sz w:val="23"/>
          <w:szCs w:val="23"/>
        </w:rPr>
      </w:pPr>
      <w:r w:rsidRPr="00183434">
        <w:rPr>
          <w:rFonts w:cs="Arial"/>
          <w:sz w:val="23"/>
          <w:szCs w:val="23"/>
        </w:rPr>
        <w:t>Promotes the detection of fraud, bribery, corruption or other malpractice.</w:t>
      </w:r>
    </w:p>
    <w:p w14:paraId="5938F67B" w14:textId="77777777" w:rsidR="00D219EF" w:rsidRPr="00183434" w:rsidRDefault="00D219EF" w:rsidP="00183434">
      <w:pPr>
        <w:numPr>
          <w:ilvl w:val="0"/>
          <w:numId w:val="49"/>
        </w:numPr>
        <w:tabs>
          <w:tab w:val="num" w:pos="284"/>
        </w:tabs>
        <w:ind w:left="426" w:hanging="142"/>
        <w:jc w:val="both"/>
        <w:rPr>
          <w:rFonts w:cs="Arial"/>
          <w:sz w:val="23"/>
          <w:szCs w:val="23"/>
        </w:rPr>
      </w:pPr>
      <w:r w:rsidRPr="00183434">
        <w:rPr>
          <w:rFonts w:cs="Arial"/>
          <w:sz w:val="23"/>
          <w:szCs w:val="23"/>
        </w:rPr>
        <w:t>Maintains clear procedures for investigation and further action where necessary.</w:t>
      </w:r>
    </w:p>
    <w:p w14:paraId="7954A7DE" w14:textId="77777777" w:rsidR="00D219EF" w:rsidRPr="00183434" w:rsidRDefault="00D219EF" w:rsidP="00183434">
      <w:pPr>
        <w:jc w:val="both"/>
        <w:rPr>
          <w:rFonts w:cs="Arial"/>
          <w:sz w:val="23"/>
          <w:szCs w:val="23"/>
        </w:rPr>
      </w:pPr>
    </w:p>
    <w:p w14:paraId="3FB8F206" w14:textId="77777777" w:rsidR="00D219EF" w:rsidRPr="00183434" w:rsidRDefault="00D219EF" w:rsidP="00183434">
      <w:pPr>
        <w:jc w:val="both"/>
        <w:rPr>
          <w:rFonts w:cs="Arial"/>
          <w:b/>
          <w:bCs/>
          <w:sz w:val="23"/>
          <w:szCs w:val="23"/>
        </w:rPr>
      </w:pPr>
      <w:r w:rsidRPr="00183434">
        <w:rPr>
          <w:rFonts w:cs="Arial"/>
          <w:b/>
          <w:bCs/>
          <w:sz w:val="23"/>
          <w:szCs w:val="23"/>
        </w:rPr>
        <w:t>Whistleblowing Code</w:t>
      </w:r>
    </w:p>
    <w:p w14:paraId="3529AC1E" w14:textId="77777777" w:rsidR="00D219EF" w:rsidRPr="00183434" w:rsidRDefault="00D219EF" w:rsidP="00183434">
      <w:pPr>
        <w:jc w:val="both"/>
        <w:rPr>
          <w:rFonts w:cs="Arial"/>
          <w:b/>
          <w:bCs/>
          <w:sz w:val="23"/>
          <w:szCs w:val="23"/>
        </w:rPr>
      </w:pPr>
    </w:p>
    <w:p w14:paraId="1ABCCFDF" w14:textId="77777777" w:rsidR="00D219EF" w:rsidRPr="00183434" w:rsidRDefault="00D219EF" w:rsidP="00183434">
      <w:pPr>
        <w:jc w:val="both"/>
        <w:rPr>
          <w:rFonts w:cs="Arial"/>
          <w:b/>
          <w:bCs/>
          <w:sz w:val="23"/>
          <w:szCs w:val="23"/>
        </w:rPr>
      </w:pPr>
      <w:r w:rsidRPr="00183434">
        <w:rPr>
          <w:rFonts w:cs="Arial"/>
          <w:sz w:val="23"/>
          <w:szCs w:val="23"/>
        </w:rPr>
        <w:t>Chesterfield Borough Council is committed to the highest possible standards of openness, probity and accountability.</w:t>
      </w:r>
    </w:p>
    <w:p w14:paraId="587F50BD" w14:textId="77777777" w:rsidR="00D219EF" w:rsidRPr="00183434" w:rsidRDefault="00D219EF" w:rsidP="00183434">
      <w:pPr>
        <w:jc w:val="both"/>
        <w:rPr>
          <w:rFonts w:cs="Arial"/>
          <w:b/>
          <w:bCs/>
          <w:sz w:val="23"/>
          <w:szCs w:val="23"/>
        </w:rPr>
      </w:pPr>
    </w:p>
    <w:p w14:paraId="27493B61" w14:textId="77777777" w:rsidR="00D219EF" w:rsidRPr="00183434" w:rsidRDefault="00D219EF" w:rsidP="00183434">
      <w:pPr>
        <w:jc w:val="both"/>
        <w:rPr>
          <w:rFonts w:cs="Arial"/>
          <w:b/>
          <w:bCs/>
          <w:sz w:val="23"/>
          <w:szCs w:val="23"/>
        </w:rPr>
      </w:pPr>
      <w:r w:rsidRPr="00183434">
        <w:rPr>
          <w:rFonts w:cs="Arial"/>
          <w:sz w:val="23"/>
          <w:szCs w:val="23"/>
        </w:rPr>
        <w:t xml:space="preserve">Employees are often the first to realise that there may be something seriously wrong within an organisation. However, they may not express their concerns because they feel that speaking up would be disloyal to their colleagues or to the organisation. They may also fear harassment or victimisation. The Council’s whistleblowing policy and confidential reporting code enable individuals to disclose information about malpractice internally and to provide them with protection from subsequent victimisation, discrimination or disadvantage. </w:t>
      </w:r>
    </w:p>
    <w:p w14:paraId="3F77AE1D" w14:textId="77777777" w:rsidR="00D219EF" w:rsidRPr="00183434" w:rsidRDefault="00D219EF" w:rsidP="00183434">
      <w:pPr>
        <w:jc w:val="both"/>
        <w:rPr>
          <w:rFonts w:cs="Arial"/>
          <w:sz w:val="23"/>
          <w:szCs w:val="23"/>
        </w:rPr>
      </w:pPr>
    </w:p>
    <w:p w14:paraId="6D5F5903" w14:textId="77777777" w:rsidR="00D219EF" w:rsidRPr="00183434" w:rsidRDefault="00D219EF" w:rsidP="00183434">
      <w:pPr>
        <w:jc w:val="both"/>
        <w:rPr>
          <w:rFonts w:cs="Arial"/>
          <w:b/>
          <w:bCs/>
          <w:sz w:val="23"/>
          <w:szCs w:val="23"/>
        </w:rPr>
      </w:pPr>
      <w:r w:rsidRPr="00183434">
        <w:rPr>
          <w:rFonts w:cs="Arial"/>
          <w:b/>
          <w:bCs/>
          <w:sz w:val="23"/>
          <w:szCs w:val="23"/>
        </w:rPr>
        <w:t>Statutory Responsibilities</w:t>
      </w:r>
    </w:p>
    <w:p w14:paraId="7DE6B70E" w14:textId="77777777" w:rsidR="00D219EF" w:rsidRPr="00183434" w:rsidRDefault="00D219EF" w:rsidP="00183434">
      <w:pPr>
        <w:jc w:val="both"/>
        <w:rPr>
          <w:rFonts w:cs="Arial"/>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6458"/>
      </w:tblGrid>
      <w:tr w:rsidR="00D219EF" w:rsidRPr="00183434" w14:paraId="29B3F831" w14:textId="77777777" w:rsidTr="003C6937">
        <w:tc>
          <w:tcPr>
            <w:tcW w:w="3227" w:type="dxa"/>
          </w:tcPr>
          <w:p w14:paraId="170994BE" w14:textId="77777777" w:rsidR="00D219EF" w:rsidRPr="00183434" w:rsidRDefault="00D219EF" w:rsidP="00183434">
            <w:pPr>
              <w:jc w:val="both"/>
              <w:rPr>
                <w:rFonts w:eastAsia="Calibri" w:cs="Arial"/>
                <w:b/>
                <w:bCs/>
                <w:sz w:val="23"/>
                <w:szCs w:val="23"/>
              </w:rPr>
            </w:pPr>
            <w:r w:rsidRPr="00183434">
              <w:rPr>
                <w:rFonts w:eastAsia="Calibri" w:cs="Arial"/>
                <w:b/>
                <w:bCs/>
                <w:sz w:val="23"/>
                <w:szCs w:val="23"/>
              </w:rPr>
              <w:t>Officer</w:t>
            </w:r>
          </w:p>
        </w:tc>
        <w:tc>
          <w:tcPr>
            <w:tcW w:w="6968" w:type="dxa"/>
          </w:tcPr>
          <w:p w14:paraId="659BEBDA" w14:textId="77777777" w:rsidR="00D219EF" w:rsidRPr="00183434" w:rsidRDefault="00D219EF" w:rsidP="00183434">
            <w:pPr>
              <w:jc w:val="both"/>
              <w:rPr>
                <w:rFonts w:eastAsia="Calibri" w:cs="Arial"/>
                <w:b/>
                <w:bCs/>
                <w:sz w:val="23"/>
                <w:szCs w:val="23"/>
              </w:rPr>
            </w:pPr>
            <w:r w:rsidRPr="00183434">
              <w:rPr>
                <w:rFonts w:eastAsia="Calibri" w:cs="Arial"/>
                <w:b/>
                <w:bCs/>
                <w:sz w:val="23"/>
                <w:szCs w:val="23"/>
              </w:rPr>
              <w:t>Role</w:t>
            </w:r>
          </w:p>
        </w:tc>
      </w:tr>
      <w:tr w:rsidR="00D219EF" w:rsidRPr="00183434" w14:paraId="6199270C" w14:textId="77777777" w:rsidTr="003C6937">
        <w:tc>
          <w:tcPr>
            <w:tcW w:w="3227" w:type="dxa"/>
          </w:tcPr>
          <w:p w14:paraId="78453C26" w14:textId="77777777" w:rsidR="00D219EF" w:rsidRPr="00183434" w:rsidRDefault="00D219EF" w:rsidP="00183434">
            <w:pPr>
              <w:jc w:val="both"/>
              <w:rPr>
                <w:rFonts w:eastAsia="Calibri" w:cs="Arial"/>
                <w:b/>
                <w:bCs/>
                <w:sz w:val="23"/>
                <w:szCs w:val="23"/>
              </w:rPr>
            </w:pPr>
            <w:r w:rsidRPr="00183434">
              <w:rPr>
                <w:rFonts w:eastAsia="Calibri" w:cs="Arial"/>
                <w:b/>
                <w:bCs/>
                <w:sz w:val="23"/>
                <w:szCs w:val="23"/>
              </w:rPr>
              <w:t>The Chief Executive</w:t>
            </w:r>
          </w:p>
        </w:tc>
        <w:tc>
          <w:tcPr>
            <w:tcW w:w="6968" w:type="dxa"/>
          </w:tcPr>
          <w:p w14:paraId="13218188" w14:textId="77777777" w:rsidR="00D219EF" w:rsidRPr="00183434" w:rsidRDefault="00D219EF" w:rsidP="00183434">
            <w:pPr>
              <w:jc w:val="both"/>
              <w:rPr>
                <w:rFonts w:eastAsia="Calibri" w:cs="Arial"/>
                <w:sz w:val="23"/>
                <w:szCs w:val="23"/>
              </w:rPr>
            </w:pPr>
            <w:r w:rsidRPr="00183434">
              <w:rPr>
                <w:rFonts w:eastAsia="Calibri" w:cs="Arial"/>
                <w:sz w:val="23"/>
                <w:szCs w:val="23"/>
              </w:rPr>
              <w:t xml:space="preserve">Designated Head of Paid Service, with the statutory responsibility for the overall review of the Council’s staffing and operation. The Chief Executive is monitored for performance in the delivery of political priorities which are in turn monitored and measured across all staff. </w:t>
            </w:r>
          </w:p>
          <w:p w14:paraId="0772FE79" w14:textId="77777777" w:rsidR="00D219EF" w:rsidRPr="00183434" w:rsidRDefault="00D219EF" w:rsidP="00183434">
            <w:pPr>
              <w:jc w:val="both"/>
              <w:rPr>
                <w:rFonts w:eastAsia="Calibri" w:cs="Arial"/>
                <w:b/>
                <w:bCs/>
                <w:sz w:val="23"/>
                <w:szCs w:val="23"/>
              </w:rPr>
            </w:pPr>
          </w:p>
        </w:tc>
      </w:tr>
      <w:tr w:rsidR="00D219EF" w:rsidRPr="00183434" w14:paraId="791FC383" w14:textId="77777777" w:rsidTr="003C6937">
        <w:tc>
          <w:tcPr>
            <w:tcW w:w="3227" w:type="dxa"/>
          </w:tcPr>
          <w:p w14:paraId="4B7BCEF3" w14:textId="77777777" w:rsidR="00D219EF" w:rsidRPr="00183434" w:rsidRDefault="00D219EF" w:rsidP="00183434">
            <w:pPr>
              <w:jc w:val="both"/>
              <w:rPr>
                <w:rFonts w:eastAsia="Calibri" w:cs="Arial"/>
                <w:b/>
                <w:bCs/>
                <w:sz w:val="23"/>
                <w:szCs w:val="23"/>
              </w:rPr>
            </w:pPr>
            <w:r w:rsidRPr="00183434">
              <w:rPr>
                <w:rFonts w:eastAsia="Calibri" w:cs="Arial"/>
                <w:b/>
                <w:bCs/>
                <w:sz w:val="23"/>
                <w:szCs w:val="23"/>
              </w:rPr>
              <w:t>The Monitoring Officer</w:t>
            </w:r>
          </w:p>
        </w:tc>
        <w:tc>
          <w:tcPr>
            <w:tcW w:w="6968" w:type="dxa"/>
          </w:tcPr>
          <w:p w14:paraId="67BF2714" w14:textId="77777777" w:rsidR="00D219EF" w:rsidRPr="00183434" w:rsidRDefault="00D219EF" w:rsidP="00183434">
            <w:pPr>
              <w:jc w:val="both"/>
              <w:rPr>
                <w:rFonts w:eastAsia="Calibri" w:cs="Arial"/>
                <w:sz w:val="23"/>
                <w:szCs w:val="23"/>
              </w:rPr>
            </w:pPr>
            <w:r w:rsidRPr="00183434">
              <w:rPr>
                <w:rFonts w:eastAsia="Calibri" w:cs="Arial"/>
                <w:sz w:val="23"/>
                <w:szCs w:val="23"/>
              </w:rPr>
              <w:t>The Monitoring Officer is responsible for all matters relating to the conduct of councillors and officers and to be responsible for the operation of the Council’s Constitution. The Monitoring Officer is a member of the Corporate Leadership team and is suitably qualified.</w:t>
            </w:r>
          </w:p>
          <w:p w14:paraId="2B4B0C33" w14:textId="77777777" w:rsidR="00D219EF" w:rsidRPr="00183434" w:rsidRDefault="00D219EF" w:rsidP="00183434">
            <w:pPr>
              <w:jc w:val="both"/>
              <w:rPr>
                <w:rFonts w:eastAsia="Calibri" w:cs="Arial"/>
                <w:b/>
                <w:bCs/>
                <w:sz w:val="23"/>
                <w:szCs w:val="23"/>
              </w:rPr>
            </w:pPr>
          </w:p>
        </w:tc>
      </w:tr>
      <w:tr w:rsidR="00D219EF" w:rsidRPr="00183434" w14:paraId="279739CA" w14:textId="77777777" w:rsidTr="003C6937">
        <w:tc>
          <w:tcPr>
            <w:tcW w:w="3227" w:type="dxa"/>
          </w:tcPr>
          <w:p w14:paraId="529C6144" w14:textId="77777777" w:rsidR="00D219EF" w:rsidRPr="00183434" w:rsidRDefault="00D219EF" w:rsidP="00183434">
            <w:pPr>
              <w:jc w:val="both"/>
              <w:rPr>
                <w:rFonts w:eastAsia="Calibri" w:cs="Arial"/>
                <w:b/>
                <w:bCs/>
                <w:sz w:val="23"/>
                <w:szCs w:val="23"/>
              </w:rPr>
            </w:pPr>
            <w:r w:rsidRPr="00183434">
              <w:rPr>
                <w:rFonts w:eastAsia="Calibri" w:cs="Arial"/>
                <w:b/>
                <w:bCs/>
                <w:sz w:val="23"/>
                <w:szCs w:val="23"/>
              </w:rPr>
              <w:t>The Chief Financial Officer</w:t>
            </w:r>
          </w:p>
        </w:tc>
        <w:tc>
          <w:tcPr>
            <w:tcW w:w="6968" w:type="dxa"/>
          </w:tcPr>
          <w:p w14:paraId="544C3E1A" w14:textId="77777777" w:rsidR="00D219EF" w:rsidRPr="00183434" w:rsidRDefault="00D219EF" w:rsidP="00183434">
            <w:pPr>
              <w:jc w:val="both"/>
              <w:rPr>
                <w:rFonts w:eastAsia="Calibri" w:cs="Arial"/>
                <w:sz w:val="23"/>
                <w:szCs w:val="23"/>
              </w:rPr>
            </w:pPr>
            <w:r w:rsidRPr="00183434">
              <w:rPr>
                <w:rFonts w:eastAsia="Calibri" w:cs="Arial"/>
                <w:sz w:val="23"/>
                <w:szCs w:val="23"/>
              </w:rPr>
              <w:t>The Chief Financial Officer ensures compliance with S151 requirements. The Chief Financial Officer is professionally qualified and experienced to undertake their roles and responsibilities and is supported by an experienced and appropriately qualified finance team. The Chief Financial Officer is a member of the Corporate Leadership team and leads and directs a finance function that is fit for purpose.  The Council’s financial management arrangements conform to the governance requirements of the CIPFA Statement on the Role of the Chief Financial Officer in Local Government.</w:t>
            </w:r>
          </w:p>
          <w:p w14:paraId="0BF74177" w14:textId="77777777" w:rsidR="00D219EF" w:rsidRPr="00183434" w:rsidRDefault="00D219EF" w:rsidP="00183434">
            <w:pPr>
              <w:jc w:val="both"/>
              <w:rPr>
                <w:rFonts w:eastAsia="Calibri" w:cs="Arial"/>
                <w:b/>
                <w:bCs/>
                <w:sz w:val="23"/>
                <w:szCs w:val="23"/>
              </w:rPr>
            </w:pPr>
          </w:p>
        </w:tc>
      </w:tr>
    </w:tbl>
    <w:p w14:paraId="6F90BFC4" w14:textId="77777777" w:rsidR="00D219EF" w:rsidRPr="00183434" w:rsidRDefault="00D219EF" w:rsidP="00183434">
      <w:pPr>
        <w:jc w:val="both"/>
        <w:rPr>
          <w:rFonts w:cs="Arial"/>
          <w:b/>
          <w:bCs/>
          <w:color w:val="FF0000"/>
          <w:sz w:val="23"/>
          <w:szCs w:val="23"/>
        </w:rPr>
      </w:pPr>
    </w:p>
    <w:p w14:paraId="1F19A3B0" w14:textId="77777777" w:rsidR="00D219EF" w:rsidRPr="00183434" w:rsidRDefault="00D219EF" w:rsidP="00183434">
      <w:pPr>
        <w:jc w:val="both"/>
        <w:rPr>
          <w:rFonts w:cs="Arial"/>
          <w:b/>
          <w:bCs/>
          <w:color w:val="FF0000"/>
          <w:sz w:val="23"/>
          <w:szCs w:val="23"/>
        </w:rPr>
      </w:pPr>
    </w:p>
    <w:p w14:paraId="35A9568D" w14:textId="77777777" w:rsidR="00D219EF" w:rsidRPr="00183434" w:rsidRDefault="00D219EF" w:rsidP="00183434">
      <w:pPr>
        <w:jc w:val="both"/>
        <w:rPr>
          <w:rFonts w:cs="Arial"/>
          <w:b/>
          <w:bCs/>
          <w:sz w:val="23"/>
          <w:szCs w:val="23"/>
        </w:rPr>
      </w:pPr>
      <w:r w:rsidRPr="00183434">
        <w:rPr>
          <w:rFonts w:cs="Arial"/>
          <w:b/>
          <w:bCs/>
          <w:sz w:val="23"/>
          <w:szCs w:val="23"/>
        </w:rPr>
        <w:t>Financial Management</w:t>
      </w:r>
    </w:p>
    <w:p w14:paraId="3C6A413B" w14:textId="77777777" w:rsidR="00D219EF" w:rsidRPr="00183434" w:rsidRDefault="00D219EF" w:rsidP="00183434">
      <w:pPr>
        <w:jc w:val="both"/>
        <w:rPr>
          <w:rFonts w:cs="Arial"/>
          <w:b/>
          <w:bCs/>
          <w:sz w:val="23"/>
          <w:szCs w:val="23"/>
        </w:rPr>
      </w:pPr>
    </w:p>
    <w:p w14:paraId="53553E63" w14:textId="77777777" w:rsidR="00D219EF" w:rsidRPr="00183434" w:rsidRDefault="00D219EF" w:rsidP="00183434">
      <w:pPr>
        <w:tabs>
          <w:tab w:val="left" w:pos="709"/>
        </w:tabs>
        <w:jc w:val="both"/>
        <w:rPr>
          <w:rFonts w:cs="Arial"/>
          <w:sz w:val="23"/>
          <w:szCs w:val="23"/>
        </w:rPr>
      </w:pPr>
      <w:r w:rsidRPr="00183434">
        <w:rPr>
          <w:rFonts w:cs="Arial"/>
          <w:sz w:val="23"/>
          <w:szCs w:val="23"/>
        </w:rPr>
        <w:t xml:space="preserve">The Council has assessed its arrangements against the CIPFA Financial Management Code and is broadly compliant with these. Further work is being undertaken to embed the principles within the Code. </w:t>
      </w:r>
      <w:r w:rsidRPr="00183434">
        <w:rPr>
          <w:rFonts w:cs="Arial"/>
          <w:sz w:val="23"/>
          <w:szCs w:val="23"/>
          <w:lang w:val="en"/>
        </w:rPr>
        <w:t xml:space="preserve">CIPFA’s Financial Management Code </w:t>
      </w:r>
      <w:r w:rsidRPr="00183434">
        <w:rPr>
          <w:rStyle w:val="Strong"/>
          <w:rFonts w:cs="Arial"/>
          <w:b w:val="0"/>
          <w:sz w:val="23"/>
          <w:szCs w:val="23"/>
          <w:lang w:val="en"/>
        </w:rPr>
        <w:t>(FM Code) was published in October 2019</w:t>
      </w:r>
      <w:r w:rsidRPr="00183434">
        <w:rPr>
          <w:rFonts w:cs="Arial"/>
          <w:sz w:val="23"/>
          <w:szCs w:val="23"/>
          <w:lang w:val="en"/>
        </w:rPr>
        <w:t xml:space="preserve"> and provides guidance for good and sustainable financial management in local authorities. The FM Code offers assurance that authorities are managing resources effectively, </w:t>
      </w:r>
      <w:r w:rsidRPr="00183434">
        <w:rPr>
          <w:rFonts w:cs="Arial"/>
          <w:sz w:val="23"/>
          <w:szCs w:val="23"/>
          <w:lang w:val="en"/>
        </w:rPr>
        <w:lastRenderedPageBreak/>
        <w:t>regardless of their current level of financial risk.</w:t>
      </w:r>
      <w:r w:rsidRPr="00183434">
        <w:rPr>
          <w:rFonts w:cs="Arial"/>
          <w:sz w:val="23"/>
          <w:szCs w:val="23"/>
        </w:rPr>
        <w:t xml:space="preserve"> The Code is structured around seven areas of focus:</w:t>
      </w:r>
    </w:p>
    <w:p w14:paraId="08474086" w14:textId="77777777" w:rsidR="00D219EF" w:rsidRPr="00183434" w:rsidRDefault="00D219EF" w:rsidP="00183434">
      <w:pPr>
        <w:spacing w:line="276" w:lineRule="auto"/>
        <w:ind w:left="1440"/>
        <w:contextualSpacing/>
        <w:jc w:val="both"/>
        <w:rPr>
          <w:rFonts w:cs="Arial"/>
          <w:sz w:val="23"/>
          <w:szCs w:val="23"/>
        </w:rPr>
      </w:pPr>
    </w:p>
    <w:p w14:paraId="3082FF04"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The Responsibilities of the Chief Finance Officer and Leadership team</w:t>
      </w:r>
    </w:p>
    <w:p w14:paraId="2C7E07FB"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Governance and Financial Management style</w:t>
      </w:r>
    </w:p>
    <w:p w14:paraId="7A05059E"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Medium to Long-term Financial Management</w:t>
      </w:r>
    </w:p>
    <w:p w14:paraId="2DB56BA5"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The Annual Budget</w:t>
      </w:r>
    </w:p>
    <w:p w14:paraId="23EF6C7D"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Stakeholder Engagement and Business Cases</w:t>
      </w:r>
    </w:p>
    <w:p w14:paraId="3321BF31"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Financial Performance Monitoring</w:t>
      </w:r>
    </w:p>
    <w:p w14:paraId="30B09517" w14:textId="77777777" w:rsidR="00D219EF" w:rsidRPr="00183434" w:rsidRDefault="00D219EF" w:rsidP="00183434">
      <w:pPr>
        <w:numPr>
          <w:ilvl w:val="0"/>
          <w:numId w:val="48"/>
        </w:numPr>
        <w:spacing w:line="276" w:lineRule="auto"/>
        <w:contextualSpacing/>
        <w:jc w:val="both"/>
        <w:rPr>
          <w:rFonts w:cs="Arial"/>
          <w:sz w:val="23"/>
          <w:szCs w:val="23"/>
        </w:rPr>
      </w:pPr>
      <w:r w:rsidRPr="00183434">
        <w:rPr>
          <w:rFonts w:cs="Arial"/>
          <w:sz w:val="23"/>
          <w:szCs w:val="23"/>
        </w:rPr>
        <w:t>External Financial Reporting</w:t>
      </w:r>
    </w:p>
    <w:p w14:paraId="0154687A" w14:textId="77777777" w:rsidR="00D219EF" w:rsidRPr="00183434" w:rsidRDefault="00D219EF" w:rsidP="00183434">
      <w:pPr>
        <w:jc w:val="both"/>
        <w:rPr>
          <w:rFonts w:cs="Arial"/>
          <w:sz w:val="23"/>
          <w:szCs w:val="23"/>
        </w:rPr>
      </w:pPr>
    </w:p>
    <w:p w14:paraId="1E38D0FC" w14:textId="77777777" w:rsidR="00D219EF" w:rsidRPr="00183434" w:rsidRDefault="00D219EF" w:rsidP="00183434">
      <w:pPr>
        <w:jc w:val="both"/>
        <w:rPr>
          <w:rFonts w:cs="Arial"/>
          <w:sz w:val="23"/>
          <w:szCs w:val="23"/>
        </w:rPr>
      </w:pPr>
      <w:r w:rsidRPr="00183434">
        <w:rPr>
          <w:rFonts w:cs="Arial"/>
          <w:sz w:val="23"/>
          <w:szCs w:val="23"/>
        </w:rPr>
        <w:t xml:space="preserve">The best use of resources and value for money challenge and assurance are obtained by scrutiny reports and reviews, reviewing service performance, benchmarking and monitoring budgets.   </w:t>
      </w:r>
    </w:p>
    <w:p w14:paraId="04B62406" w14:textId="77777777" w:rsidR="00D219EF" w:rsidRPr="00183434" w:rsidRDefault="00D219EF" w:rsidP="00183434">
      <w:pPr>
        <w:jc w:val="both"/>
        <w:rPr>
          <w:rFonts w:cs="Arial"/>
          <w:sz w:val="23"/>
          <w:szCs w:val="23"/>
        </w:rPr>
      </w:pPr>
    </w:p>
    <w:p w14:paraId="5A90BC4D" w14:textId="77777777" w:rsidR="00D219EF" w:rsidRPr="00183434" w:rsidRDefault="00D219EF" w:rsidP="00183434">
      <w:pPr>
        <w:jc w:val="both"/>
        <w:rPr>
          <w:rFonts w:cs="Arial"/>
          <w:sz w:val="23"/>
          <w:szCs w:val="23"/>
        </w:rPr>
      </w:pPr>
    </w:p>
    <w:p w14:paraId="7D94CE6B" w14:textId="77777777" w:rsidR="00D219EF" w:rsidRPr="00183434" w:rsidRDefault="00D219EF" w:rsidP="00183434">
      <w:pPr>
        <w:jc w:val="both"/>
        <w:rPr>
          <w:rFonts w:cs="Arial"/>
          <w:b/>
          <w:bCs/>
          <w:sz w:val="23"/>
          <w:szCs w:val="23"/>
        </w:rPr>
      </w:pPr>
      <w:r w:rsidRPr="00183434">
        <w:rPr>
          <w:rFonts w:cs="Arial"/>
          <w:b/>
          <w:bCs/>
          <w:sz w:val="23"/>
          <w:szCs w:val="23"/>
        </w:rPr>
        <w:t>Financial Sustainability</w:t>
      </w:r>
    </w:p>
    <w:p w14:paraId="50BFCB5E" w14:textId="77777777" w:rsidR="00D219EF" w:rsidRPr="00183434" w:rsidRDefault="00D219EF" w:rsidP="00183434">
      <w:pPr>
        <w:jc w:val="both"/>
        <w:rPr>
          <w:rFonts w:cs="Arial"/>
          <w:b/>
          <w:bCs/>
          <w:sz w:val="23"/>
          <w:szCs w:val="23"/>
        </w:rPr>
      </w:pPr>
    </w:p>
    <w:p w14:paraId="68E9AF96" w14:textId="77777777" w:rsidR="00D219EF" w:rsidRPr="00183434" w:rsidRDefault="00D219EF" w:rsidP="00183434">
      <w:pPr>
        <w:jc w:val="both"/>
        <w:rPr>
          <w:rFonts w:cs="Arial"/>
          <w:sz w:val="23"/>
          <w:szCs w:val="23"/>
        </w:rPr>
      </w:pPr>
      <w:r w:rsidRPr="00183434">
        <w:rPr>
          <w:rFonts w:cs="Arial"/>
          <w:sz w:val="23"/>
          <w:szCs w:val="23"/>
        </w:rPr>
        <w:t>Like all local authorities, Chesterfield Borough Council continues to face significant financial challenges. The current economic climate and relatively high rates of inflation have impacted on the Council’s financial position.</w:t>
      </w:r>
    </w:p>
    <w:p w14:paraId="6801F08C" w14:textId="77777777" w:rsidR="00D219EF" w:rsidRPr="00183434" w:rsidRDefault="00D219EF" w:rsidP="00183434">
      <w:pPr>
        <w:jc w:val="both"/>
        <w:rPr>
          <w:rFonts w:cs="Arial"/>
          <w:sz w:val="23"/>
          <w:szCs w:val="23"/>
        </w:rPr>
      </w:pPr>
    </w:p>
    <w:p w14:paraId="2D7609A5" w14:textId="77777777" w:rsidR="00D219EF" w:rsidRPr="00183434" w:rsidRDefault="00D219EF" w:rsidP="00183434">
      <w:pPr>
        <w:jc w:val="both"/>
        <w:rPr>
          <w:rFonts w:cs="Arial"/>
          <w:sz w:val="23"/>
          <w:szCs w:val="23"/>
        </w:rPr>
      </w:pPr>
      <w:r w:rsidRPr="00183434">
        <w:rPr>
          <w:rFonts w:cs="Arial"/>
          <w:sz w:val="23"/>
          <w:szCs w:val="23"/>
        </w:rPr>
        <w:t>Notwithstanding the planned implementation of Local Government Reorganisation in April 2028 the Council has a continued responsibility to develop a medium-term plan that demonstrates it remains a financially sustainable on-going concern. This will also ensure that a robust medium term financial plan is handed over to any successor authority.</w:t>
      </w:r>
    </w:p>
    <w:p w14:paraId="245CD02A" w14:textId="77777777" w:rsidR="00D219EF" w:rsidRPr="00183434" w:rsidRDefault="00D219EF" w:rsidP="00183434">
      <w:pPr>
        <w:jc w:val="both"/>
        <w:rPr>
          <w:rFonts w:cs="Arial"/>
          <w:sz w:val="23"/>
          <w:szCs w:val="23"/>
        </w:rPr>
      </w:pPr>
    </w:p>
    <w:p w14:paraId="17AAB134" w14:textId="77777777" w:rsidR="00D219EF" w:rsidRPr="00183434" w:rsidRDefault="00D219EF" w:rsidP="00183434">
      <w:pPr>
        <w:jc w:val="both"/>
        <w:rPr>
          <w:rFonts w:cs="Arial"/>
          <w:sz w:val="23"/>
          <w:szCs w:val="23"/>
        </w:rPr>
      </w:pPr>
      <w:r w:rsidRPr="00183434">
        <w:rPr>
          <w:rFonts w:cs="Arial"/>
          <w:sz w:val="23"/>
          <w:szCs w:val="23"/>
        </w:rPr>
        <w:t>December 2025 saw the introduction of the long-delayed new settlement funding system and the introduction of a multi-year financial settlement by the Government.</w:t>
      </w:r>
    </w:p>
    <w:p w14:paraId="0A5CD87B" w14:textId="77777777" w:rsidR="00D219EF" w:rsidRPr="00183434" w:rsidRDefault="00D219EF" w:rsidP="00183434">
      <w:pPr>
        <w:jc w:val="both"/>
        <w:rPr>
          <w:rFonts w:cs="Arial"/>
          <w:sz w:val="23"/>
          <w:szCs w:val="23"/>
        </w:rPr>
      </w:pPr>
    </w:p>
    <w:p w14:paraId="26E9B031"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The Council has well-established and robust budget processes. These have been followed when compiling the 2026/27 budget and medium-term projections. In constructing these budget estimates, priority is given to funding existing and emerging service pressures. These have been subject to rigorous review, scrutiny and challenge by budget holders, Corporate Leadership Team, and Portfolio Holders.</w:t>
      </w:r>
    </w:p>
    <w:p w14:paraId="6E19028B" w14:textId="77777777" w:rsidR="00D219EF" w:rsidRPr="00183434" w:rsidRDefault="00D219EF" w:rsidP="00183434">
      <w:pPr>
        <w:spacing w:after="160" w:line="259" w:lineRule="auto"/>
        <w:ind w:left="34"/>
        <w:contextualSpacing/>
        <w:jc w:val="both"/>
        <w:rPr>
          <w:rFonts w:cs="Arial"/>
          <w:sz w:val="23"/>
          <w:szCs w:val="23"/>
        </w:rPr>
      </w:pPr>
    </w:p>
    <w:p w14:paraId="508377EB"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 xml:space="preserve">The strategic principles embedded within the budget strategy aim to establish a framework for aligning the revenue and capital spending proposals with the Council’s key priorities, objectives and commitments as set out in the Council Plan. The key aim in recent years has been to ensure that sufficient funding, deliverable cost reductions, and additional income are identified to set a balanced budget in line with legal requirements. </w:t>
      </w:r>
    </w:p>
    <w:p w14:paraId="5E9C6216" w14:textId="77777777" w:rsidR="00D219EF" w:rsidRPr="00183434" w:rsidRDefault="00D219EF" w:rsidP="00183434">
      <w:pPr>
        <w:spacing w:after="160" w:line="259" w:lineRule="auto"/>
        <w:ind w:left="34"/>
        <w:contextualSpacing/>
        <w:jc w:val="both"/>
        <w:rPr>
          <w:rFonts w:cs="Arial"/>
          <w:color w:val="FF0000"/>
          <w:sz w:val="23"/>
          <w:szCs w:val="23"/>
        </w:rPr>
      </w:pPr>
    </w:p>
    <w:p w14:paraId="306BDF87"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Whilst the introduction of a confirmed multi-year government settlement provides clarity regarding future funding levels and assists medium term planning, the national redistribution of resources has left Chesterfield with a sizeable financial challenge for future years.</w:t>
      </w:r>
    </w:p>
    <w:p w14:paraId="356B0959" w14:textId="77777777" w:rsidR="00D219EF" w:rsidRPr="00183434" w:rsidRDefault="00D219EF" w:rsidP="00183434">
      <w:pPr>
        <w:spacing w:after="160" w:line="259" w:lineRule="auto"/>
        <w:ind w:left="34"/>
        <w:contextualSpacing/>
        <w:jc w:val="both"/>
        <w:rPr>
          <w:rFonts w:cs="Arial"/>
          <w:sz w:val="23"/>
          <w:szCs w:val="23"/>
        </w:rPr>
      </w:pPr>
    </w:p>
    <w:p w14:paraId="665263DC"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 xml:space="preserve">There is no legal requirement to set a balanced Medium Term Financial </w:t>
      </w:r>
      <w:proofErr w:type="gramStart"/>
      <w:r w:rsidRPr="00183434">
        <w:rPr>
          <w:rFonts w:cs="Arial"/>
          <w:sz w:val="23"/>
          <w:szCs w:val="23"/>
        </w:rPr>
        <w:t>Plan</w:t>
      </w:r>
      <w:proofErr w:type="gramEnd"/>
      <w:r w:rsidRPr="00183434">
        <w:rPr>
          <w:rFonts w:cs="Arial"/>
          <w:sz w:val="23"/>
          <w:szCs w:val="23"/>
        </w:rPr>
        <w:t xml:space="preserve"> but it is considered good practice. The position in future financial years will depend on the Council's success in delivering existing budget savings and controlling costs, and its ability to apply surpluses to maintain and bolster the levels of both earmarked and unearmarked reserves. The Council also has a collective responsibility to maintain the current authority as a going concern and ensure that a sustainable position is handed over to any successor authority.</w:t>
      </w:r>
    </w:p>
    <w:p w14:paraId="01CDE889" w14:textId="77777777" w:rsidR="00D219EF" w:rsidRPr="00183434" w:rsidRDefault="00D219EF" w:rsidP="00183434">
      <w:pPr>
        <w:spacing w:after="160" w:line="259" w:lineRule="auto"/>
        <w:ind w:left="34"/>
        <w:contextualSpacing/>
        <w:jc w:val="both"/>
        <w:rPr>
          <w:rFonts w:cs="Arial"/>
          <w:sz w:val="23"/>
          <w:szCs w:val="23"/>
        </w:rPr>
      </w:pPr>
    </w:p>
    <w:p w14:paraId="535E7BAD"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Given the known financial challenges, the next budget process will require an early focus to allow maximum time for the development and consideration of robust ongoing budget proposals. These budget options will be developed in line with the existing budget strategy thematic interventions:</w:t>
      </w:r>
    </w:p>
    <w:p w14:paraId="6ABB869F" w14:textId="77777777" w:rsidR="00D219EF" w:rsidRPr="00183434" w:rsidRDefault="00D219EF" w:rsidP="00183434">
      <w:pPr>
        <w:pStyle w:val="ListParagraph"/>
        <w:numPr>
          <w:ilvl w:val="0"/>
          <w:numId w:val="60"/>
        </w:numPr>
        <w:spacing w:after="160" w:line="259" w:lineRule="auto"/>
        <w:contextualSpacing/>
        <w:jc w:val="both"/>
        <w:rPr>
          <w:rFonts w:ascii="Arial" w:hAnsi="Arial" w:cs="Arial"/>
          <w:sz w:val="23"/>
          <w:szCs w:val="23"/>
        </w:rPr>
      </w:pPr>
      <w:r w:rsidRPr="00183434">
        <w:rPr>
          <w:rFonts w:ascii="Arial" w:hAnsi="Arial" w:cs="Arial"/>
          <w:sz w:val="23"/>
          <w:szCs w:val="23"/>
        </w:rPr>
        <w:t>Identifying general efficiencies</w:t>
      </w:r>
    </w:p>
    <w:p w14:paraId="37286C63" w14:textId="77777777" w:rsidR="00D219EF" w:rsidRPr="00183434" w:rsidRDefault="00D219EF" w:rsidP="00183434">
      <w:pPr>
        <w:pStyle w:val="ListParagraph"/>
        <w:numPr>
          <w:ilvl w:val="0"/>
          <w:numId w:val="60"/>
        </w:numPr>
        <w:spacing w:after="160" w:line="259" w:lineRule="auto"/>
        <w:contextualSpacing/>
        <w:jc w:val="both"/>
        <w:rPr>
          <w:rFonts w:ascii="Arial" w:hAnsi="Arial" w:cs="Arial"/>
          <w:sz w:val="23"/>
          <w:szCs w:val="23"/>
        </w:rPr>
      </w:pPr>
      <w:r w:rsidRPr="00183434">
        <w:rPr>
          <w:rFonts w:ascii="Arial" w:hAnsi="Arial" w:cs="Arial"/>
          <w:sz w:val="23"/>
          <w:szCs w:val="23"/>
        </w:rPr>
        <w:t>Increasing income and establishing stronger commercial operating principles</w:t>
      </w:r>
    </w:p>
    <w:p w14:paraId="24D2D7A6" w14:textId="77777777" w:rsidR="00D219EF" w:rsidRPr="00183434" w:rsidRDefault="00D219EF" w:rsidP="00183434">
      <w:pPr>
        <w:pStyle w:val="ListParagraph"/>
        <w:numPr>
          <w:ilvl w:val="0"/>
          <w:numId w:val="60"/>
        </w:numPr>
        <w:spacing w:after="160" w:line="259" w:lineRule="auto"/>
        <w:contextualSpacing/>
        <w:jc w:val="both"/>
        <w:rPr>
          <w:rFonts w:ascii="Arial" w:hAnsi="Arial" w:cs="Arial"/>
          <w:sz w:val="23"/>
          <w:szCs w:val="23"/>
        </w:rPr>
      </w:pPr>
      <w:r w:rsidRPr="00183434">
        <w:rPr>
          <w:rFonts w:ascii="Arial" w:hAnsi="Arial" w:cs="Arial"/>
          <w:sz w:val="23"/>
          <w:szCs w:val="23"/>
        </w:rPr>
        <w:t>Transforming how we deliver services</w:t>
      </w:r>
    </w:p>
    <w:p w14:paraId="47A7D24C" w14:textId="77777777" w:rsidR="00D219EF" w:rsidRPr="00183434" w:rsidRDefault="00D219EF" w:rsidP="00183434">
      <w:pPr>
        <w:pStyle w:val="ListParagraph"/>
        <w:numPr>
          <w:ilvl w:val="0"/>
          <w:numId w:val="60"/>
        </w:numPr>
        <w:spacing w:after="160" w:line="259" w:lineRule="auto"/>
        <w:contextualSpacing/>
        <w:jc w:val="both"/>
        <w:rPr>
          <w:rFonts w:ascii="Arial" w:hAnsi="Arial" w:cs="Arial"/>
          <w:sz w:val="23"/>
          <w:szCs w:val="23"/>
        </w:rPr>
      </w:pPr>
      <w:r w:rsidRPr="00183434">
        <w:rPr>
          <w:rFonts w:ascii="Arial" w:hAnsi="Arial" w:cs="Arial"/>
          <w:sz w:val="23"/>
          <w:szCs w:val="23"/>
        </w:rPr>
        <w:t xml:space="preserve">Reducing service offers / stop doing – statutory and non-statutory services </w:t>
      </w:r>
    </w:p>
    <w:p w14:paraId="0C3B8308" w14:textId="77777777" w:rsidR="00D219EF" w:rsidRPr="00183434" w:rsidRDefault="00D219EF" w:rsidP="00183434">
      <w:pPr>
        <w:pStyle w:val="ListParagraph"/>
        <w:numPr>
          <w:ilvl w:val="0"/>
          <w:numId w:val="60"/>
        </w:numPr>
        <w:spacing w:after="160" w:line="259" w:lineRule="auto"/>
        <w:contextualSpacing/>
        <w:jc w:val="both"/>
        <w:rPr>
          <w:rFonts w:ascii="Arial" w:hAnsi="Arial" w:cs="Arial"/>
          <w:sz w:val="23"/>
          <w:szCs w:val="23"/>
        </w:rPr>
      </w:pPr>
      <w:r w:rsidRPr="00183434">
        <w:rPr>
          <w:rFonts w:ascii="Arial" w:hAnsi="Arial" w:cs="Arial"/>
          <w:sz w:val="23"/>
          <w:szCs w:val="23"/>
        </w:rPr>
        <w:t>Rightsizing the organisation</w:t>
      </w:r>
    </w:p>
    <w:p w14:paraId="621E8014" w14:textId="77777777" w:rsidR="00D219EF" w:rsidRPr="00183434" w:rsidRDefault="00D219EF" w:rsidP="00183434">
      <w:pPr>
        <w:pStyle w:val="ListParagraph"/>
        <w:numPr>
          <w:ilvl w:val="0"/>
          <w:numId w:val="60"/>
        </w:numPr>
        <w:spacing w:after="160" w:line="259" w:lineRule="auto"/>
        <w:contextualSpacing/>
        <w:jc w:val="both"/>
        <w:rPr>
          <w:rFonts w:ascii="Arial" w:hAnsi="Arial" w:cs="Arial"/>
          <w:sz w:val="23"/>
          <w:szCs w:val="23"/>
        </w:rPr>
      </w:pPr>
      <w:r w:rsidRPr="00183434">
        <w:rPr>
          <w:rFonts w:ascii="Arial" w:hAnsi="Arial" w:cs="Arial"/>
          <w:sz w:val="23"/>
          <w:szCs w:val="23"/>
        </w:rPr>
        <w:t>Asset rationalisation</w:t>
      </w:r>
    </w:p>
    <w:p w14:paraId="4724659E" w14:textId="77777777" w:rsidR="00D219EF" w:rsidRPr="00183434" w:rsidRDefault="00D219EF" w:rsidP="00183434">
      <w:pPr>
        <w:spacing w:after="160" w:line="259" w:lineRule="auto"/>
        <w:ind w:left="34"/>
        <w:contextualSpacing/>
        <w:jc w:val="both"/>
        <w:rPr>
          <w:rFonts w:cs="Arial"/>
          <w:sz w:val="23"/>
          <w:szCs w:val="23"/>
        </w:rPr>
      </w:pPr>
    </w:p>
    <w:p w14:paraId="5A5B3CE2" w14:textId="77777777" w:rsidR="00D219EF" w:rsidRPr="00183434" w:rsidRDefault="00D219EF" w:rsidP="00183434">
      <w:pPr>
        <w:jc w:val="both"/>
        <w:rPr>
          <w:rFonts w:cs="Arial"/>
          <w:sz w:val="23"/>
          <w:szCs w:val="23"/>
        </w:rPr>
      </w:pPr>
      <w:r w:rsidRPr="00183434">
        <w:rPr>
          <w:rFonts w:cs="Arial"/>
          <w:sz w:val="23"/>
          <w:szCs w:val="23"/>
        </w:rPr>
        <w:t>Effective budget monitoring and forecasting is critical to understanding emerging budget pressures and ensuring that appropriate plans are implemented to manage and mitigate in-year financial risks. In-year financial management processes will continue to be enhanced and strengthened across the Council.  Budget holders are responsible for ensuring that services are delivered within budget and for taking early management actions to resolve emerging financial issues. They are also responsible for ensuring external income is maximised for their service and seeking out new opportunities to generate income.</w:t>
      </w:r>
    </w:p>
    <w:p w14:paraId="793B85D0" w14:textId="77777777" w:rsidR="00D219EF" w:rsidRPr="00183434" w:rsidRDefault="00D219EF" w:rsidP="00183434">
      <w:pPr>
        <w:jc w:val="both"/>
        <w:rPr>
          <w:rFonts w:cs="Arial"/>
          <w:sz w:val="23"/>
          <w:szCs w:val="23"/>
        </w:rPr>
      </w:pPr>
    </w:p>
    <w:p w14:paraId="7B8962FC" w14:textId="77777777" w:rsidR="00D219EF" w:rsidRPr="00183434" w:rsidRDefault="00D219EF" w:rsidP="00183434">
      <w:pPr>
        <w:jc w:val="both"/>
        <w:rPr>
          <w:rFonts w:cs="Arial"/>
          <w:b/>
          <w:bCs/>
          <w:sz w:val="23"/>
          <w:szCs w:val="23"/>
        </w:rPr>
      </w:pPr>
      <w:r w:rsidRPr="00183434">
        <w:rPr>
          <w:rFonts w:cs="Arial"/>
          <w:b/>
          <w:bCs/>
          <w:sz w:val="23"/>
          <w:szCs w:val="23"/>
        </w:rPr>
        <w:t>Housing Revenue Account</w:t>
      </w:r>
    </w:p>
    <w:p w14:paraId="60A76970" w14:textId="77777777" w:rsidR="00D219EF" w:rsidRPr="00183434" w:rsidRDefault="00D219EF" w:rsidP="00183434">
      <w:pPr>
        <w:jc w:val="both"/>
        <w:rPr>
          <w:rFonts w:cs="Arial"/>
          <w:b/>
          <w:bCs/>
          <w:sz w:val="23"/>
          <w:szCs w:val="23"/>
        </w:rPr>
      </w:pPr>
    </w:p>
    <w:p w14:paraId="1184CC53" w14:textId="77777777" w:rsidR="00D219EF" w:rsidRPr="00183434" w:rsidRDefault="00D219EF" w:rsidP="00183434">
      <w:pPr>
        <w:jc w:val="both"/>
        <w:rPr>
          <w:rFonts w:cs="Arial"/>
          <w:sz w:val="23"/>
          <w:szCs w:val="23"/>
        </w:rPr>
      </w:pPr>
      <w:r w:rsidRPr="00183434">
        <w:rPr>
          <w:rFonts w:cs="Arial"/>
          <w:sz w:val="23"/>
          <w:szCs w:val="23"/>
        </w:rPr>
        <w:t>The Council is required to keep a separate account for its activities as a housing landlord. This is called the Housing Revenue Account (HRA).  The account is ring-fenced and does not receive any subsidy from the Government or from Council Tax, nor is it allowed to subsidise the General Fund.</w:t>
      </w:r>
    </w:p>
    <w:p w14:paraId="2E9F4F70" w14:textId="77777777" w:rsidR="00D219EF" w:rsidRPr="00183434" w:rsidRDefault="00D219EF" w:rsidP="00183434">
      <w:pPr>
        <w:jc w:val="both"/>
        <w:rPr>
          <w:rFonts w:cs="Arial"/>
          <w:sz w:val="23"/>
          <w:szCs w:val="23"/>
        </w:rPr>
      </w:pPr>
    </w:p>
    <w:p w14:paraId="30B759E0" w14:textId="77777777" w:rsidR="00D219EF" w:rsidRPr="00183434" w:rsidRDefault="00D219EF" w:rsidP="00183434">
      <w:pPr>
        <w:jc w:val="both"/>
        <w:rPr>
          <w:rFonts w:cs="Arial"/>
          <w:sz w:val="23"/>
          <w:szCs w:val="23"/>
        </w:rPr>
      </w:pPr>
      <w:r w:rsidRPr="00183434">
        <w:rPr>
          <w:rFonts w:cs="Arial"/>
          <w:sz w:val="23"/>
          <w:szCs w:val="23"/>
        </w:rPr>
        <w:t xml:space="preserve">With the introduction of self-financing the Council has produced a 30-year HRA Business Plan that is financially viable, delivers a reasonable standard of housing for tenants and maintains homes to at least the minimum Decent Homes Standard. Self-financing has improved the financial position of the HRA. The Council can determine its own financial future and can also borrow to finance improvements. </w:t>
      </w:r>
    </w:p>
    <w:p w14:paraId="04FFA638" w14:textId="77777777" w:rsidR="00D219EF" w:rsidRPr="00183434" w:rsidRDefault="00D219EF" w:rsidP="00183434">
      <w:pPr>
        <w:jc w:val="both"/>
        <w:rPr>
          <w:rFonts w:cs="Arial"/>
          <w:sz w:val="23"/>
          <w:szCs w:val="23"/>
        </w:rPr>
      </w:pPr>
    </w:p>
    <w:p w14:paraId="5E985C87" w14:textId="77777777" w:rsidR="00D219EF" w:rsidRPr="00183434" w:rsidRDefault="00D219EF" w:rsidP="00183434">
      <w:pPr>
        <w:jc w:val="both"/>
        <w:rPr>
          <w:rFonts w:cs="Arial"/>
          <w:sz w:val="23"/>
          <w:szCs w:val="23"/>
        </w:rPr>
      </w:pPr>
      <w:r w:rsidRPr="00183434">
        <w:rPr>
          <w:rFonts w:cs="Arial"/>
          <w:sz w:val="23"/>
          <w:szCs w:val="23"/>
        </w:rPr>
        <w:t>Government rent policy has resulted in significant reductions in the resources available to the Council’s Housing Service in recent years.</w:t>
      </w:r>
    </w:p>
    <w:p w14:paraId="16228B00" w14:textId="77777777" w:rsidR="00D219EF" w:rsidRPr="00183434" w:rsidRDefault="00D219EF" w:rsidP="00183434">
      <w:pPr>
        <w:jc w:val="both"/>
        <w:rPr>
          <w:rFonts w:cs="Arial"/>
          <w:sz w:val="23"/>
          <w:szCs w:val="23"/>
        </w:rPr>
      </w:pPr>
    </w:p>
    <w:p w14:paraId="463B3E50" w14:textId="77777777" w:rsidR="00D219EF" w:rsidRPr="00183434" w:rsidRDefault="00D219EF" w:rsidP="00183434">
      <w:pPr>
        <w:jc w:val="both"/>
        <w:rPr>
          <w:rFonts w:cs="Arial"/>
          <w:sz w:val="23"/>
          <w:szCs w:val="23"/>
        </w:rPr>
      </w:pPr>
      <w:r w:rsidRPr="00183434">
        <w:rPr>
          <w:rFonts w:cs="Arial"/>
          <w:sz w:val="23"/>
          <w:szCs w:val="23"/>
        </w:rPr>
        <w:t>The HRA has also been impacted by inflationary increases, which have resulted in additional costs relating to pay awards, utilities and contracts, material, fuel, and labour cost increases.</w:t>
      </w:r>
    </w:p>
    <w:p w14:paraId="69D26F8E" w14:textId="77777777" w:rsidR="00D219EF" w:rsidRPr="00183434" w:rsidRDefault="00D219EF" w:rsidP="00183434">
      <w:pPr>
        <w:jc w:val="both"/>
        <w:rPr>
          <w:rFonts w:cs="Arial"/>
          <w:sz w:val="23"/>
          <w:szCs w:val="23"/>
        </w:rPr>
      </w:pPr>
    </w:p>
    <w:p w14:paraId="490E9B63" w14:textId="77777777" w:rsidR="00D219EF" w:rsidRPr="00183434" w:rsidRDefault="00D219EF" w:rsidP="00183434">
      <w:pPr>
        <w:jc w:val="both"/>
        <w:rPr>
          <w:rFonts w:cs="Arial"/>
          <w:b/>
          <w:bCs/>
          <w:sz w:val="23"/>
          <w:szCs w:val="23"/>
        </w:rPr>
      </w:pPr>
      <w:r w:rsidRPr="00183434">
        <w:rPr>
          <w:rFonts w:cs="Arial"/>
          <w:sz w:val="23"/>
          <w:szCs w:val="23"/>
        </w:rPr>
        <w:t>Changes in Government policy and legislation that impact the Housing Revenue Account (HRA) will influence the Authority’s financial planning, compliance requirements, and long-term sustainability of the HRA.</w:t>
      </w:r>
    </w:p>
    <w:p w14:paraId="506C0805" w14:textId="77777777" w:rsidR="00D219EF" w:rsidRPr="00183434" w:rsidRDefault="00D219EF" w:rsidP="00183434">
      <w:pPr>
        <w:jc w:val="both"/>
        <w:rPr>
          <w:rFonts w:cs="Arial"/>
          <w:b/>
          <w:bCs/>
          <w:sz w:val="23"/>
          <w:szCs w:val="23"/>
        </w:rPr>
      </w:pPr>
    </w:p>
    <w:p w14:paraId="5B7C8699" w14:textId="77777777" w:rsidR="00D219EF" w:rsidRPr="00183434" w:rsidRDefault="00D219EF" w:rsidP="00183434">
      <w:pPr>
        <w:spacing w:after="160" w:line="259" w:lineRule="auto"/>
        <w:contextualSpacing/>
        <w:jc w:val="both"/>
        <w:rPr>
          <w:rFonts w:cs="Arial"/>
          <w:sz w:val="23"/>
          <w:szCs w:val="23"/>
        </w:rPr>
      </w:pPr>
      <w:r w:rsidRPr="00183434">
        <w:rPr>
          <w:rFonts w:cs="Arial"/>
          <w:sz w:val="23"/>
          <w:szCs w:val="23"/>
        </w:rPr>
        <w:t xml:space="preserve">The financial strategy for the HRA is to deliver a balanced and sustainable budget which is self-financing in the longer term, and which reflects both the requirements of tenants and the strategic vision and priorities of the Council. </w:t>
      </w:r>
    </w:p>
    <w:p w14:paraId="5344932B" w14:textId="77777777" w:rsidR="00D219EF" w:rsidRPr="00183434" w:rsidRDefault="00D219EF" w:rsidP="00183434">
      <w:pPr>
        <w:spacing w:after="160" w:line="259" w:lineRule="auto"/>
        <w:contextualSpacing/>
        <w:jc w:val="both"/>
        <w:rPr>
          <w:rFonts w:cs="Arial"/>
          <w:sz w:val="23"/>
          <w:szCs w:val="23"/>
        </w:rPr>
      </w:pPr>
    </w:p>
    <w:p w14:paraId="08CEAE91" w14:textId="77777777" w:rsidR="00D219EF" w:rsidRPr="00183434" w:rsidRDefault="00D219EF" w:rsidP="00183434">
      <w:pPr>
        <w:spacing w:after="160" w:line="259" w:lineRule="auto"/>
        <w:contextualSpacing/>
        <w:jc w:val="both"/>
        <w:rPr>
          <w:rFonts w:cs="Arial"/>
          <w:sz w:val="23"/>
          <w:szCs w:val="23"/>
        </w:rPr>
      </w:pPr>
      <w:r w:rsidRPr="00183434">
        <w:rPr>
          <w:rFonts w:cs="Arial"/>
          <w:sz w:val="23"/>
          <w:szCs w:val="23"/>
        </w:rPr>
        <w:t xml:space="preserve">A minimum HRA working balance should be maintained to meet unexpected, unplanned expenditure and / or shortfalls in income. As a result of ongoing financial pressures, particularly in relation to rising maintenance costs, voids, disrepair claims, and capital investment plans, the latest MTPF shows this working balance is projected to temporarily fall below the minimum working balance. This position improves significantly in subsequent years due to increased </w:t>
      </w:r>
      <w:r w:rsidRPr="00183434">
        <w:rPr>
          <w:rFonts w:cs="Arial"/>
          <w:sz w:val="23"/>
          <w:szCs w:val="23"/>
        </w:rPr>
        <w:lastRenderedPageBreak/>
        <w:t>rental income and reduced staff costs resulting from the ongoing financial impact of revised terms and conditions.</w:t>
      </w:r>
    </w:p>
    <w:p w14:paraId="7C0BB143" w14:textId="77777777" w:rsidR="00D219EF" w:rsidRPr="00183434" w:rsidRDefault="00D219EF" w:rsidP="00183434">
      <w:pPr>
        <w:spacing w:after="160" w:line="259" w:lineRule="auto"/>
        <w:contextualSpacing/>
        <w:jc w:val="both"/>
        <w:rPr>
          <w:rFonts w:cs="Arial"/>
          <w:sz w:val="23"/>
          <w:szCs w:val="23"/>
        </w:rPr>
      </w:pPr>
    </w:p>
    <w:p w14:paraId="679C4735" w14:textId="77777777" w:rsidR="00D219EF" w:rsidRPr="00183434" w:rsidRDefault="00D219EF" w:rsidP="00183434">
      <w:pPr>
        <w:spacing w:after="160" w:line="259" w:lineRule="auto"/>
        <w:contextualSpacing/>
        <w:jc w:val="both"/>
        <w:rPr>
          <w:rFonts w:cs="Arial"/>
          <w:sz w:val="23"/>
          <w:szCs w:val="23"/>
        </w:rPr>
      </w:pPr>
      <w:r w:rsidRPr="00183434">
        <w:rPr>
          <w:rFonts w:cs="Arial"/>
          <w:sz w:val="23"/>
          <w:szCs w:val="23"/>
        </w:rPr>
        <w:t>The aims of the 30-year HRA business plan are to ensure:</w:t>
      </w:r>
    </w:p>
    <w:p w14:paraId="71649D6F" w14:textId="77777777" w:rsidR="00D219EF" w:rsidRPr="00183434" w:rsidRDefault="00D219EF" w:rsidP="00183434">
      <w:pPr>
        <w:pStyle w:val="ListParagraph"/>
        <w:numPr>
          <w:ilvl w:val="0"/>
          <w:numId w:val="61"/>
        </w:numPr>
        <w:spacing w:after="160" w:line="259" w:lineRule="auto"/>
        <w:contextualSpacing/>
        <w:jc w:val="both"/>
        <w:rPr>
          <w:rFonts w:ascii="Arial" w:hAnsi="Arial" w:cs="Arial"/>
          <w:sz w:val="23"/>
          <w:szCs w:val="23"/>
        </w:rPr>
      </w:pPr>
      <w:r w:rsidRPr="00183434">
        <w:rPr>
          <w:rFonts w:ascii="Arial" w:hAnsi="Arial" w:cs="Arial"/>
          <w:sz w:val="23"/>
          <w:szCs w:val="23"/>
        </w:rPr>
        <w:t>That the working balance does not go into a negative position</w:t>
      </w:r>
    </w:p>
    <w:p w14:paraId="3BF89BB8" w14:textId="77777777" w:rsidR="00D219EF" w:rsidRPr="00183434" w:rsidRDefault="00D219EF" w:rsidP="00183434">
      <w:pPr>
        <w:pStyle w:val="ListParagraph"/>
        <w:numPr>
          <w:ilvl w:val="0"/>
          <w:numId w:val="61"/>
        </w:numPr>
        <w:spacing w:after="160" w:line="259" w:lineRule="auto"/>
        <w:contextualSpacing/>
        <w:jc w:val="both"/>
        <w:rPr>
          <w:rFonts w:ascii="Arial" w:hAnsi="Arial" w:cs="Arial"/>
          <w:sz w:val="23"/>
          <w:szCs w:val="23"/>
        </w:rPr>
      </w:pPr>
      <w:r w:rsidRPr="00183434">
        <w:rPr>
          <w:rFonts w:ascii="Arial" w:hAnsi="Arial" w:cs="Arial"/>
          <w:sz w:val="23"/>
          <w:szCs w:val="23"/>
        </w:rPr>
        <w:t>HRA loans can be repaid as they fall due (or be refinanced)</w:t>
      </w:r>
    </w:p>
    <w:p w14:paraId="4B7AA701" w14:textId="77777777" w:rsidR="00D219EF" w:rsidRPr="00183434" w:rsidRDefault="00D219EF" w:rsidP="00183434">
      <w:pPr>
        <w:pStyle w:val="ListParagraph"/>
        <w:numPr>
          <w:ilvl w:val="0"/>
          <w:numId w:val="61"/>
        </w:numPr>
        <w:spacing w:after="160" w:line="259" w:lineRule="auto"/>
        <w:contextualSpacing/>
        <w:jc w:val="both"/>
        <w:rPr>
          <w:rFonts w:ascii="Arial" w:hAnsi="Arial" w:cs="Arial"/>
          <w:sz w:val="23"/>
          <w:szCs w:val="23"/>
        </w:rPr>
      </w:pPr>
      <w:r w:rsidRPr="00183434">
        <w:rPr>
          <w:rFonts w:ascii="Arial" w:hAnsi="Arial" w:cs="Arial"/>
          <w:sz w:val="23"/>
          <w:szCs w:val="23"/>
        </w:rPr>
        <w:t>Interest on the loans is affordable</w:t>
      </w:r>
    </w:p>
    <w:p w14:paraId="3B659DF1" w14:textId="77777777" w:rsidR="00D219EF" w:rsidRPr="00183434" w:rsidRDefault="00D219EF" w:rsidP="00183434">
      <w:pPr>
        <w:pStyle w:val="ListParagraph"/>
        <w:numPr>
          <w:ilvl w:val="0"/>
          <w:numId w:val="61"/>
        </w:numPr>
        <w:spacing w:after="160" w:line="259" w:lineRule="auto"/>
        <w:contextualSpacing/>
        <w:jc w:val="both"/>
        <w:rPr>
          <w:rFonts w:ascii="Arial" w:hAnsi="Arial" w:cs="Arial"/>
          <w:sz w:val="23"/>
          <w:szCs w:val="23"/>
        </w:rPr>
      </w:pPr>
      <w:r w:rsidRPr="00183434">
        <w:rPr>
          <w:rFonts w:ascii="Arial" w:hAnsi="Arial" w:cs="Arial"/>
          <w:sz w:val="23"/>
          <w:szCs w:val="23"/>
        </w:rPr>
        <w:t>There is sufficient funding available to ensure that the stock can be maintained as a minimum to the level of the Decent Homes Standard</w:t>
      </w:r>
    </w:p>
    <w:p w14:paraId="4468F274" w14:textId="77777777" w:rsidR="00D219EF" w:rsidRPr="00183434" w:rsidRDefault="00D219EF" w:rsidP="00183434">
      <w:pPr>
        <w:pStyle w:val="ListParagraph"/>
        <w:numPr>
          <w:ilvl w:val="0"/>
          <w:numId w:val="61"/>
        </w:numPr>
        <w:spacing w:after="160" w:line="259" w:lineRule="auto"/>
        <w:contextualSpacing/>
        <w:jc w:val="both"/>
        <w:rPr>
          <w:rFonts w:ascii="Arial" w:hAnsi="Arial" w:cs="Arial"/>
          <w:sz w:val="23"/>
          <w:szCs w:val="23"/>
        </w:rPr>
      </w:pPr>
      <w:r w:rsidRPr="00183434">
        <w:rPr>
          <w:rFonts w:ascii="Arial" w:hAnsi="Arial" w:cs="Arial"/>
          <w:sz w:val="23"/>
          <w:szCs w:val="23"/>
        </w:rPr>
        <w:t>The Plan is sufficiently well resourced to ensure that compliance with regulatory standards can be achieved.</w:t>
      </w:r>
    </w:p>
    <w:p w14:paraId="092A260F" w14:textId="77777777" w:rsidR="00D219EF" w:rsidRPr="00183434" w:rsidRDefault="00D219EF" w:rsidP="00183434">
      <w:pPr>
        <w:spacing w:after="160" w:line="259" w:lineRule="auto"/>
        <w:jc w:val="both"/>
        <w:rPr>
          <w:rFonts w:cs="Arial"/>
          <w:sz w:val="23"/>
          <w:szCs w:val="23"/>
        </w:rPr>
      </w:pPr>
      <w:r w:rsidRPr="00183434">
        <w:rPr>
          <w:rFonts w:cs="Arial"/>
          <w:sz w:val="23"/>
          <w:szCs w:val="23"/>
        </w:rPr>
        <w:t xml:space="preserve">The HRA business plan is generally positive following its first year of operation and, based on current assumptions, remains financially viable over the full 30-year planning period. </w:t>
      </w:r>
    </w:p>
    <w:p w14:paraId="3102BFBA" w14:textId="77777777" w:rsidR="00D219EF" w:rsidRPr="00183434" w:rsidRDefault="00D219EF" w:rsidP="00183434">
      <w:pPr>
        <w:spacing w:after="160" w:line="259" w:lineRule="auto"/>
        <w:jc w:val="both"/>
        <w:rPr>
          <w:rFonts w:cs="Arial"/>
          <w:sz w:val="23"/>
          <w:szCs w:val="23"/>
        </w:rPr>
      </w:pPr>
      <w:r w:rsidRPr="00183434">
        <w:rPr>
          <w:rFonts w:cs="Arial"/>
          <w:sz w:val="23"/>
          <w:szCs w:val="23"/>
        </w:rPr>
        <w:t>The plan demonstrates that the Council can continue to meet its statutory obligations, maintain its housing stock, and support ongoing investment in services for tenants.</w:t>
      </w:r>
    </w:p>
    <w:p w14:paraId="518217D7" w14:textId="77777777" w:rsidR="00D219EF" w:rsidRPr="00183434" w:rsidRDefault="00D219EF" w:rsidP="00183434">
      <w:pPr>
        <w:jc w:val="both"/>
        <w:rPr>
          <w:rFonts w:cs="Arial"/>
          <w:b/>
          <w:bCs/>
          <w:sz w:val="23"/>
          <w:szCs w:val="23"/>
        </w:rPr>
      </w:pPr>
      <w:r w:rsidRPr="00183434">
        <w:rPr>
          <w:rFonts w:cs="Arial"/>
          <w:b/>
          <w:bCs/>
          <w:sz w:val="23"/>
          <w:szCs w:val="23"/>
        </w:rPr>
        <w:t>Procurement of Goods and Services</w:t>
      </w:r>
    </w:p>
    <w:p w14:paraId="06D961B6" w14:textId="77777777" w:rsidR="00D219EF" w:rsidRPr="00183434" w:rsidRDefault="00D219EF" w:rsidP="00183434">
      <w:pPr>
        <w:jc w:val="both"/>
        <w:rPr>
          <w:rFonts w:cs="Arial"/>
          <w:b/>
          <w:bCs/>
          <w:color w:val="FF0000"/>
          <w:sz w:val="23"/>
          <w:szCs w:val="23"/>
        </w:rPr>
      </w:pPr>
    </w:p>
    <w:p w14:paraId="5C8624FC" w14:textId="77777777" w:rsidR="00D219EF" w:rsidRPr="00183434" w:rsidRDefault="00D219EF" w:rsidP="00183434">
      <w:pPr>
        <w:jc w:val="both"/>
        <w:rPr>
          <w:rFonts w:cs="Arial"/>
          <w:sz w:val="23"/>
          <w:szCs w:val="23"/>
        </w:rPr>
      </w:pPr>
      <w:r w:rsidRPr="00183434">
        <w:rPr>
          <w:rFonts w:cs="Arial"/>
          <w:sz w:val="23"/>
          <w:szCs w:val="23"/>
          <w:lang w:eastAsia="en-US"/>
        </w:rPr>
        <w:t xml:space="preserve">The Procurement Act 2023 went live in February 2025. The new legislation significantly impacts public </w:t>
      </w:r>
      <w:proofErr w:type="gramStart"/>
      <w:r w:rsidRPr="00183434">
        <w:rPr>
          <w:rFonts w:cs="Arial"/>
          <w:sz w:val="23"/>
          <w:szCs w:val="23"/>
          <w:lang w:eastAsia="en-US"/>
        </w:rPr>
        <w:t>procurement</w:t>
      </w:r>
      <w:proofErr w:type="gramEnd"/>
      <w:r w:rsidRPr="00183434">
        <w:rPr>
          <w:rFonts w:cs="Arial"/>
          <w:sz w:val="23"/>
          <w:szCs w:val="23"/>
          <w:lang w:eastAsia="en-US"/>
        </w:rPr>
        <w:t xml:space="preserve"> and the Council have made substantial changes to the way goods, services and works are procured and contracts managed to ensure compliance with the new Act.</w:t>
      </w:r>
    </w:p>
    <w:p w14:paraId="2145B549" w14:textId="77777777" w:rsidR="00D219EF" w:rsidRPr="00183434" w:rsidRDefault="00D219EF" w:rsidP="00183434">
      <w:pPr>
        <w:jc w:val="both"/>
        <w:rPr>
          <w:rFonts w:cs="Arial"/>
          <w:sz w:val="23"/>
          <w:szCs w:val="23"/>
        </w:rPr>
      </w:pPr>
    </w:p>
    <w:p w14:paraId="0A486DEA" w14:textId="77777777" w:rsidR="00D219EF" w:rsidRPr="00183434" w:rsidRDefault="00D219EF" w:rsidP="00183434">
      <w:pPr>
        <w:jc w:val="both"/>
        <w:rPr>
          <w:rFonts w:cs="Arial"/>
          <w:b/>
          <w:bCs/>
          <w:color w:val="FF0000"/>
          <w:sz w:val="23"/>
          <w:szCs w:val="23"/>
        </w:rPr>
      </w:pPr>
      <w:r w:rsidRPr="00183434">
        <w:rPr>
          <w:rFonts w:cs="Arial"/>
          <w:sz w:val="23"/>
          <w:szCs w:val="23"/>
          <w:lang w:eastAsia="en-US"/>
        </w:rPr>
        <w:t>Work is still required to ensure that all Council spend is compliant with the Procurement Act and that new processes and documentation are fully embedded throughout the Council and that a new Strategy is approved.</w:t>
      </w:r>
    </w:p>
    <w:p w14:paraId="17AD6CEC" w14:textId="77777777" w:rsidR="00D219EF" w:rsidRPr="00183434" w:rsidRDefault="00D219EF" w:rsidP="00183434">
      <w:pPr>
        <w:jc w:val="both"/>
        <w:rPr>
          <w:rFonts w:cs="Arial"/>
          <w:b/>
          <w:bCs/>
          <w:color w:val="FF0000"/>
          <w:sz w:val="23"/>
          <w:szCs w:val="23"/>
        </w:rPr>
      </w:pPr>
    </w:p>
    <w:p w14:paraId="73385513" w14:textId="77777777" w:rsidR="00D219EF" w:rsidRPr="00183434" w:rsidRDefault="00D219EF" w:rsidP="00183434">
      <w:pPr>
        <w:jc w:val="both"/>
        <w:rPr>
          <w:rFonts w:cs="Arial"/>
          <w:b/>
          <w:bCs/>
          <w:sz w:val="23"/>
          <w:szCs w:val="23"/>
        </w:rPr>
      </w:pPr>
      <w:r w:rsidRPr="00183434">
        <w:rPr>
          <w:rFonts w:cs="Arial"/>
          <w:b/>
          <w:bCs/>
          <w:sz w:val="23"/>
          <w:szCs w:val="23"/>
        </w:rPr>
        <w:t>Internal Audit Assurance</w:t>
      </w:r>
    </w:p>
    <w:p w14:paraId="5324B4B5" w14:textId="77777777" w:rsidR="00D219EF" w:rsidRPr="00183434" w:rsidRDefault="00D219EF" w:rsidP="00183434">
      <w:pPr>
        <w:jc w:val="both"/>
        <w:rPr>
          <w:rFonts w:cs="Arial"/>
          <w:color w:val="FF0000"/>
          <w:sz w:val="23"/>
          <w:szCs w:val="23"/>
        </w:rPr>
      </w:pPr>
    </w:p>
    <w:p w14:paraId="423578DE" w14:textId="77777777" w:rsidR="00D219EF" w:rsidRPr="00183434" w:rsidRDefault="00D219EF" w:rsidP="00183434">
      <w:pPr>
        <w:jc w:val="both"/>
        <w:rPr>
          <w:rFonts w:cs="Arial"/>
          <w:sz w:val="23"/>
          <w:szCs w:val="23"/>
        </w:rPr>
      </w:pPr>
      <w:r w:rsidRPr="00183434">
        <w:rPr>
          <w:rFonts w:cs="Arial"/>
          <w:sz w:val="23"/>
          <w:szCs w:val="23"/>
        </w:rPr>
        <w:t xml:space="preserve">Internal Audit is provided on a Consortium basis for Bolsover District Council, </w:t>
      </w:r>
      <w:proofErr w:type="gramStart"/>
      <w:r w:rsidRPr="00183434">
        <w:rPr>
          <w:rFonts w:cs="Arial"/>
          <w:sz w:val="23"/>
          <w:szCs w:val="23"/>
        </w:rPr>
        <w:t>North East</w:t>
      </w:r>
      <w:proofErr w:type="gramEnd"/>
      <w:r w:rsidRPr="00183434">
        <w:rPr>
          <w:rFonts w:cs="Arial"/>
          <w:sz w:val="23"/>
          <w:szCs w:val="23"/>
        </w:rPr>
        <w:t xml:space="preserve"> Derbyshire District Council and Chesterfield Borough Council. For the financial year 2025/26 the Internal Audit Consortium was working towards achieving full compliance with the Global Internal Audit Standards in the UK Public Sector and conformed to the requirements of the CIPFA statement on the Role of the Head of Internal Audit 2019. </w:t>
      </w:r>
    </w:p>
    <w:p w14:paraId="186AB2D2" w14:textId="77777777" w:rsidR="00D219EF" w:rsidRPr="00183434" w:rsidRDefault="00D219EF" w:rsidP="00183434">
      <w:pPr>
        <w:jc w:val="both"/>
        <w:rPr>
          <w:rFonts w:cs="Arial"/>
          <w:sz w:val="23"/>
          <w:szCs w:val="23"/>
        </w:rPr>
      </w:pPr>
    </w:p>
    <w:p w14:paraId="505AD16B" w14:textId="77777777" w:rsidR="00D219EF" w:rsidRPr="00183434" w:rsidRDefault="00D219EF" w:rsidP="00183434">
      <w:pPr>
        <w:jc w:val="both"/>
        <w:rPr>
          <w:rFonts w:cs="Arial"/>
          <w:sz w:val="23"/>
          <w:szCs w:val="23"/>
        </w:rPr>
      </w:pPr>
      <w:r w:rsidRPr="00183434">
        <w:rPr>
          <w:rFonts w:cs="Arial"/>
          <w:sz w:val="23"/>
          <w:szCs w:val="23"/>
        </w:rPr>
        <w:t>The Head of the Internal Audit Consortium is a senior manager, professionally qualified and leads an appropriately resourced and experienced audit team. The last external review of internal audit confirmed that the Consortium was compliant with the Public Sector Internal Audit Standards. In 2026/27 an external review of Internal Audit against the Global Internal Audit Standards in the UK Public Sector will take place.</w:t>
      </w:r>
    </w:p>
    <w:p w14:paraId="4720D960" w14:textId="77777777" w:rsidR="00D219EF" w:rsidRPr="00183434" w:rsidRDefault="00D219EF" w:rsidP="00183434">
      <w:pPr>
        <w:jc w:val="both"/>
        <w:rPr>
          <w:rFonts w:cs="Arial"/>
          <w:sz w:val="23"/>
          <w:szCs w:val="23"/>
        </w:rPr>
      </w:pPr>
    </w:p>
    <w:p w14:paraId="52401A1B" w14:textId="77777777" w:rsidR="00D219EF" w:rsidRPr="00183434" w:rsidRDefault="00D219EF" w:rsidP="00183434">
      <w:pPr>
        <w:jc w:val="both"/>
        <w:rPr>
          <w:rFonts w:cs="Arial"/>
          <w:b/>
          <w:sz w:val="23"/>
          <w:szCs w:val="23"/>
        </w:rPr>
      </w:pPr>
      <w:r w:rsidRPr="00183434">
        <w:rPr>
          <w:rFonts w:cs="Arial"/>
          <w:b/>
          <w:sz w:val="23"/>
          <w:szCs w:val="23"/>
        </w:rPr>
        <w:t>Internal Audit Conclusion 2025/26</w:t>
      </w:r>
    </w:p>
    <w:p w14:paraId="00365CAC" w14:textId="77777777" w:rsidR="00D219EF" w:rsidRPr="00183434" w:rsidRDefault="00D219EF" w:rsidP="00183434">
      <w:pPr>
        <w:jc w:val="both"/>
        <w:rPr>
          <w:rFonts w:cs="Arial"/>
          <w:color w:val="FF0000"/>
          <w:sz w:val="23"/>
          <w:szCs w:val="23"/>
        </w:rPr>
      </w:pPr>
    </w:p>
    <w:p w14:paraId="408DE450" w14:textId="77777777" w:rsidR="00D219EF" w:rsidRPr="00183434" w:rsidRDefault="00D219EF" w:rsidP="00183434">
      <w:pPr>
        <w:jc w:val="both"/>
        <w:rPr>
          <w:rFonts w:cs="Arial"/>
          <w:sz w:val="23"/>
          <w:szCs w:val="23"/>
        </w:rPr>
      </w:pPr>
      <w:r w:rsidRPr="00183434">
        <w:rPr>
          <w:rFonts w:cs="Arial"/>
          <w:sz w:val="23"/>
          <w:szCs w:val="23"/>
        </w:rPr>
        <w:t>The Head of the Internal Audit Consortium is responsible for the delivery of an annual audit conclusion that can be used by the council to inform its governance system. The annual conclusion provides an opinion on the overall adequacy and effectiveness of the organisation’s framework of governance, risk management and control.</w:t>
      </w:r>
    </w:p>
    <w:p w14:paraId="1E7CA2E3" w14:textId="77777777" w:rsidR="00D219EF" w:rsidRPr="00183434" w:rsidRDefault="00D219EF" w:rsidP="00183434">
      <w:pPr>
        <w:jc w:val="both"/>
        <w:rPr>
          <w:rFonts w:cs="Arial"/>
          <w:color w:val="FF0000"/>
          <w:sz w:val="23"/>
          <w:szCs w:val="23"/>
        </w:rPr>
      </w:pPr>
    </w:p>
    <w:p w14:paraId="2E81ADD1" w14:textId="77777777" w:rsidR="00D219EF" w:rsidRPr="00183434" w:rsidRDefault="00D219EF" w:rsidP="00183434">
      <w:pPr>
        <w:jc w:val="both"/>
        <w:rPr>
          <w:rFonts w:cs="Arial"/>
          <w:sz w:val="23"/>
          <w:szCs w:val="23"/>
        </w:rPr>
      </w:pPr>
      <w:r w:rsidRPr="00183434">
        <w:rPr>
          <w:rFonts w:cs="Arial"/>
          <w:sz w:val="23"/>
          <w:szCs w:val="23"/>
        </w:rPr>
        <w:t xml:space="preserve">“My conclusion is that reasonable assurance can be provided on the overall adequacy and effectiveness of the council’s framework for governance, risk management and control for the year ended 2025/26. Sufficient work has been completed and assurances ascertained to be able to provide an unlimited opinion on the systems of governance, risk management and control in place. This year 23 reports have been issued 8 substantial, 14 reasonable, 1 limited </w:t>
      </w:r>
      <w:r w:rsidRPr="00183434">
        <w:rPr>
          <w:rFonts w:cs="Arial"/>
          <w:sz w:val="23"/>
          <w:szCs w:val="23"/>
        </w:rPr>
        <w:lastRenderedPageBreak/>
        <w:t xml:space="preserve">and 0 inadequate assurance reports have been issued. Managers have either already implemented or are in the process of implementing the audit recommendations made”.  </w:t>
      </w:r>
    </w:p>
    <w:p w14:paraId="3FF5EC1D" w14:textId="77777777" w:rsidR="00D219EF" w:rsidRPr="00183434" w:rsidRDefault="00D219EF" w:rsidP="00183434">
      <w:pPr>
        <w:jc w:val="both"/>
        <w:rPr>
          <w:rFonts w:cs="Arial"/>
          <w:color w:val="FF0000"/>
          <w:sz w:val="23"/>
          <w:szCs w:val="23"/>
        </w:rPr>
      </w:pPr>
      <w:r w:rsidRPr="00183434">
        <w:rPr>
          <w:rFonts w:cs="Arial"/>
          <w:color w:val="FF0000"/>
          <w:sz w:val="23"/>
          <w:szCs w:val="23"/>
        </w:rPr>
        <w:t> </w:t>
      </w:r>
    </w:p>
    <w:p w14:paraId="586FEF6C" w14:textId="77777777" w:rsidR="00D219EF" w:rsidRPr="00183434" w:rsidRDefault="00D219EF" w:rsidP="00183434">
      <w:pPr>
        <w:jc w:val="both"/>
        <w:rPr>
          <w:rFonts w:cs="Arial"/>
          <w:sz w:val="23"/>
          <w:szCs w:val="23"/>
        </w:rPr>
      </w:pPr>
      <w:r w:rsidRPr="00183434">
        <w:rPr>
          <w:rFonts w:cs="Arial"/>
          <w:sz w:val="23"/>
          <w:szCs w:val="23"/>
        </w:rPr>
        <w:t>Assurance can never be absolute. In this context “reasonable assurance” means that arrangements are in place to manage key risks and to meet good governance principles, but there are some areas particularly in respect of the limited and inadequate assurance reports where improvements are required.</w:t>
      </w:r>
    </w:p>
    <w:p w14:paraId="5940E8BC" w14:textId="77777777" w:rsidR="00D219EF" w:rsidRPr="00183434" w:rsidRDefault="00D219EF" w:rsidP="00183434">
      <w:pPr>
        <w:jc w:val="both"/>
        <w:rPr>
          <w:rFonts w:cs="Arial"/>
          <w:color w:val="FF0000"/>
          <w:sz w:val="23"/>
          <w:szCs w:val="23"/>
        </w:rPr>
      </w:pPr>
    </w:p>
    <w:p w14:paraId="2A2D60B8" w14:textId="77777777" w:rsidR="00D219EF" w:rsidRPr="00183434" w:rsidRDefault="00D219EF" w:rsidP="00183434">
      <w:pPr>
        <w:jc w:val="both"/>
        <w:rPr>
          <w:rFonts w:cs="Arial"/>
          <w:b/>
          <w:bCs/>
          <w:sz w:val="23"/>
          <w:szCs w:val="23"/>
        </w:rPr>
      </w:pPr>
      <w:r w:rsidRPr="00183434">
        <w:rPr>
          <w:rFonts w:cs="Arial"/>
          <w:b/>
          <w:bCs/>
          <w:sz w:val="23"/>
          <w:szCs w:val="23"/>
        </w:rPr>
        <w:t>External Audit Assurance</w:t>
      </w:r>
    </w:p>
    <w:p w14:paraId="29E44651" w14:textId="77777777" w:rsidR="00D219EF" w:rsidRPr="00183434" w:rsidRDefault="00D219EF" w:rsidP="00183434">
      <w:pPr>
        <w:jc w:val="both"/>
        <w:rPr>
          <w:rFonts w:cs="Arial"/>
          <w:sz w:val="23"/>
          <w:szCs w:val="23"/>
        </w:rPr>
      </w:pPr>
    </w:p>
    <w:p w14:paraId="356A523D" w14:textId="77777777" w:rsidR="00D219EF" w:rsidRPr="00183434" w:rsidRDefault="00D219EF" w:rsidP="00183434">
      <w:pPr>
        <w:jc w:val="both"/>
        <w:rPr>
          <w:rFonts w:cs="Arial"/>
          <w:b/>
          <w:bCs/>
          <w:i/>
          <w:iCs/>
          <w:sz w:val="23"/>
          <w:szCs w:val="23"/>
        </w:rPr>
      </w:pPr>
      <w:r w:rsidRPr="00183434">
        <w:rPr>
          <w:rStyle w:val="BookTitle"/>
          <w:rFonts w:cs="Arial"/>
          <w:b w:val="0"/>
          <w:bCs w:val="0"/>
          <w:i w:val="0"/>
          <w:iCs w:val="0"/>
          <w:sz w:val="23"/>
          <w:szCs w:val="23"/>
        </w:rPr>
        <w:t>Our external auditor is Forvis Mazars LLP. In accordance with their statutory requirements, their annual audit includes examining and certifying whether the financial statements are ‘true and fair’ and assessing our arrangements for securing value for money in the use of resources.</w:t>
      </w:r>
    </w:p>
    <w:p w14:paraId="4AE1CC92" w14:textId="77777777" w:rsidR="00D219EF" w:rsidRPr="00183434" w:rsidRDefault="00D219EF" w:rsidP="00183434">
      <w:pPr>
        <w:jc w:val="both"/>
        <w:rPr>
          <w:rFonts w:cs="Arial"/>
          <w:sz w:val="23"/>
          <w:szCs w:val="23"/>
        </w:rPr>
      </w:pPr>
    </w:p>
    <w:p w14:paraId="5371D1C8" w14:textId="77777777" w:rsidR="00D219EF" w:rsidRPr="00183434" w:rsidRDefault="00D219EF" w:rsidP="00183434">
      <w:pPr>
        <w:jc w:val="both"/>
        <w:rPr>
          <w:rFonts w:cs="Arial"/>
          <w:bCs/>
          <w:color w:val="FF0000"/>
          <w:sz w:val="23"/>
          <w:szCs w:val="23"/>
        </w:rPr>
      </w:pPr>
      <w:r w:rsidRPr="00183434">
        <w:rPr>
          <w:rFonts w:cs="Arial"/>
          <w:bCs/>
          <w:sz w:val="23"/>
          <w:szCs w:val="23"/>
        </w:rPr>
        <w:t xml:space="preserve">The significant delays in the external audit of local authority accounts are a well-known national issue. A series of backstop dates up until 2027/28 have been issued which are intended to clear the backlog of unaudited accounts. In his statement the Minister recognises that the measures are likely to result in </w:t>
      </w:r>
      <w:proofErr w:type="gramStart"/>
      <w:r w:rsidRPr="00183434">
        <w:rPr>
          <w:rFonts w:cs="Arial"/>
          <w:bCs/>
          <w:sz w:val="23"/>
          <w:szCs w:val="23"/>
        </w:rPr>
        <w:t>a number of</w:t>
      </w:r>
      <w:proofErr w:type="gramEnd"/>
      <w:r w:rsidRPr="00183434">
        <w:rPr>
          <w:rFonts w:cs="Arial"/>
          <w:bCs/>
          <w:sz w:val="23"/>
          <w:szCs w:val="23"/>
        </w:rPr>
        <w:t xml:space="preserve"> ‘disclaimed’ or ‘modified’ audit opinions with auditors likely to ‘issue hundreds of ‘disclaimed’ audit opinions, and disclaimed opinions will likely continue for some bodies for </w:t>
      </w:r>
      <w:proofErr w:type="gramStart"/>
      <w:r w:rsidRPr="00183434">
        <w:rPr>
          <w:rFonts w:cs="Arial"/>
          <w:bCs/>
          <w:sz w:val="23"/>
          <w:szCs w:val="23"/>
        </w:rPr>
        <w:t>a number of</w:t>
      </w:r>
      <w:proofErr w:type="gramEnd"/>
      <w:r w:rsidRPr="00183434">
        <w:rPr>
          <w:rFonts w:cs="Arial"/>
          <w:bCs/>
          <w:sz w:val="23"/>
          <w:szCs w:val="23"/>
        </w:rPr>
        <w:t xml:space="preserve"> years.’ </w:t>
      </w:r>
    </w:p>
    <w:p w14:paraId="5089D034" w14:textId="77777777" w:rsidR="00D219EF" w:rsidRPr="00183434" w:rsidRDefault="00D219EF" w:rsidP="00183434">
      <w:pPr>
        <w:jc w:val="both"/>
        <w:rPr>
          <w:rFonts w:cs="Arial"/>
          <w:color w:val="FF0000"/>
          <w:sz w:val="23"/>
          <w:szCs w:val="23"/>
        </w:rPr>
      </w:pPr>
    </w:p>
    <w:p w14:paraId="52053FF8" w14:textId="77777777" w:rsidR="00D219EF" w:rsidRPr="00183434" w:rsidRDefault="00D219EF" w:rsidP="00183434">
      <w:pPr>
        <w:jc w:val="both"/>
        <w:rPr>
          <w:rFonts w:cs="Arial"/>
          <w:sz w:val="23"/>
          <w:szCs w:val="23"/>
        </w:rPr>
      </w:pPr>
      <w:r w:rsidRPr="00183434">
        <w:rPr>
          <w:rFonts w:cs="Arial"/>
          <w:bCs/>
          <w:sz w:val="23"/>
          <w:szCs w:val="23"/>
        </w:rPr>
        <w:t xml:space="preserve">As a result of the backstop arrangements, Forvis Mazars are in the process of rebuilding assurance which will take </w:t>
      </w:r>
      <w:proofErr w:type="gramStart"/>
      <w:r w:rsidRPr="00183434">
        <w:rPr>
          <w:rFonts w:cs="Arial"/>
          <w:bCs/>
          <w:sz w:val="23"/>
          <w:szCs w:val="23"/>
        </w:rPr>
        <w:t>a number of</w:t>
      </w:r>
      <w:proofErr w:type="gramEnd"/>
      <w:r w:rsidRPr="00183434">
        <w:rPr>
          <w:rFonts w:cs="Arial"/>
          <w:bCs/>
          <w:sz w:val="23"/>
          <w:szCs w:val="23"/>
        </w:rPr>
        <w:t xml:space="preserve"> years thereby resulting in a disclaimer of opinion on the Council’s financial statements for 2025/26. </w:t>
      </w:r>
    </w:p>
    <w:p w14:paraId="2E73E835" w14:textId="77777777" w:rsidR="00D219EF" w:rsidRPr="00183434" w:rsidRDefault="00D219EF" w:rsidP="00183434">
      <w:pPr>
        <w:jc w:val="both"/>
        <w:rPr>
          <w:rFonts w:cs="Arial"/>
          <w:sz w:val="23"/>
          <w:szCs w:val="23"/>
        </w:rPr>
      </w:pPr>
    </w:p>
    <w:p w14:paraId="2FA00E4D" w14:textId="77777777" w:rsidR="00D219EF" w:rsidRPr="00183434" w:rsidRDefault="00D219EF" w:rsidP="00183434">
      <w:pPr>
        <w:jc w:val="both"/>
        <w:rPr>
          <w:rFonts w:cs="Arial"/>
          <w:b/>
          <w:bCs/>
          <w:snapToGrid w:val="0"/>
          <w:sz w:val="23"/>
          <w:szCs w:val="23"/>
          <w:lang w:eastAsia="en-US"/>
        </w:rPr>
      </w:pPr>
      <w:r w:rsidRPr="00183434">
        <w:rPr>
          <w:rFonts w:cs="Arial"/>
          <w:b/>
          <w:bCs/>
          <w:snapToGrid w:val="0"/>
          <w:sz w:val="23"/>
          <w:szCs w:val="23"/>
          <w:lang w:eastAsia="en-US"/>
        </w:rPr>
        <w:t>Risk Management</w:t>
      </w:r>
    </w:p>
    <w:p w14:paraId="2A5159AB" w14:textId="77777777" w:rsidR="00D219EF" w:rsidRPr="00183434" w:rsidRDefault="00D219EF" w:rsidP="00183434">
      <w:pPr>
        <w:jc w:val="both"/>
        <w:rPr>
          <w:rFonts w:cs="Arial"/>
          <w:snapToGrid w:val="0"/>
          <w:color w:val="FF0000"/>
          <w:sz w:val="23"/>
          <w:szCs w:val="23"/>
          <w:lang w:eastAsia="en-US"/>
        </w:rPr>
      </w:pPr>
    </w:p>
    <w:p w14:paraId="0DE9C9B8" w14:textId="77777777" w:rsidR="00D219EF" w:rsidRPr="00183434" w:rsidRDefault="00D219EF" w:rsidP="00183434">
      <w:pPr>
        <w:jc w:val="both"/>
        <w:rPr>
          <w:rFonts w:cs="Arial"/>
          <w:sz w:val="23"/>
          <w:szCs w:val="23"/>
        </w:rPr>
      </w:pPr>
      <w:r w:rsidRPr="00183434">
        <w:rPr>
          <w:rFonts w:cs="Arial"/>
          <w:sz w:val="23"/>
          <w:szCs w:val="23"/>
        </w:rPr>
        <w:t xml:space="preserve">Chesterfield Borough Council has a risk management strategy, a risk management group and risk is considered as part of all Cabinet reports. The Strategic risk register is regularly </w:t>
      </w:r>
      <w:proofErr w:type="gramStart"/>
      <w:r w:rsidRPr="00183434">
        <w:rPr>
          <w:rFonts w:cs="Arial"/>
          <w:sz w:val="23"/>
          <w:szCs w:val="23"/>
        </w:rPr>
        <w:t>reviewed</w:t>
      </w:r>
      <w:proofErr w:type="gramEnd"/>
      <w:r w:rsidRPr="00183434">
        <w:rPr>
          <w:rFonts w:cs="Arial"/>
          <w:sz w:val="23"/>
          <w:szCs w:val="23"/>
        </w:rPr>
        <w:t xml:space="preserve"> and service risk registers are in the process of being reviewed and updated. The risk management process includes horizon scanning to identify new threats and opportunities at an early stage.</w:t>
      </w:r>
    </w:p>
    <w:p w14:paraId="5CEC4E17" w14:textId="77777777" w:rsidR="00D219EF" w:rsidRPr="00183434" w:rsidRDefault="00D219EF" w:rsidP="00183434">
      <w:pPr>
        <w:jc w:val="both"/>
        <w:rPr>
          <w:rFonts w:cs="Arial"/>
          <w:color w:val="FF0000"/>
          <w:sz w:val="23"/>
          <w:szCs w:val="23"/>
        </w:rPr>
      </w:pPr>
    </w:p>
    <w:p w14:paraId="707CB5AC" w14:textId="77777777" w:rsidR="00D219EF" w:rsidRPr="00183434" w:rsidRDefault="00D219EF" w:rsidP="00183434">
      <w:pPr>
        <w:jc w:val="both"/>
        <w:rPr>
          <w:rFonts w:cs="Arial"/>
          <w:b/>
          <w:bCs/>
          <w:sz w:val="23"/>
          <w:szCs w:val="23"/>
        </w:rPr>
      </w:pPr>
      <w:r w:rsidRPr="00183434">
        <w:rPr>
          <w:rFonts w:cs="Arial"/>
          <w:b/>
          <w:bCs/>
          <w:sz w:val="23"/>
          <w:szCs w:val="23"/>
        </w:rPr>
        <w:t>Performance Management</w:t>
      </w:r>
    </w:p>
    <w:p w14:paraId="7B528835" w14:textId="77777777" w:rsidR="00D219EF" w:rsidRPr="00183434" w:rsidRDefault="00D219EF" w:rsidP="00183434">
      <w:pPr>
        <w:jc w:val="both"/>
        <w:rPr>
          <w:rFonts w:cs="Arial"/>
          <w:b/>
          <w:bCs/>
          <w:sz w:val="23"/>
          <w:szCs w:val="23"/>
        </w:rPr>
      </w:pPr>
    </w:p>
    <w:p w14:paraId="28405BDB" w14:textId="77777777" w:rsidR="00D219EF" w:rsidRPr="00183434" w:rsidRDefault="00D219EF" w:rsidP="00183434">
      <w:pPr>
        <w:jc w:val="both"/>
        <w:rPr>
          <w:rFonts w:cs="Arial"/>
          <w:b/>
          <w:bCs/>
          <w:sz w:val="23"/>
          <w:szCs w:val="23"/>
        </w:rPr>
      </w:pPr>
      <w:r w:rsidRPr="00183434">
        <w:rPr>
          <w:rFonts w:cs="Arial"/>
          <w:sz w:val="23"/>
          <w:szCs w:val="23"/>
        </w:rPr>
        <w:t>The Council Plan 2023 - 2028 identifies the Council’s key priorities and aspirations over a five-year period. To track and challenge progress across the five years, annual delivery plans are developed. The delivery plans are reported to and monitored by Cabinet and the Corporate Leadership Team.</w:t>
      </w:r>
    </w:p>
    <w:p w14:paraId="4810AB1D" w14:textId="77777777" w:rsidR="00D219EF" w:rsidRPr="00183434" w:rsidRDefault="00D219EF" w:rsidP="00183434">
      <w:pPr>
        <w:jc w:val="both"/>
        <w:rPr>
          <w:rFonts w:cs="Arial"/>
          <w:b/>
          <w:bCs/>
          <w:sz w:val="23"/>
          <w:szCs w:val="23"/>
        </w:rPr>
      </w:pPr>
    </w:p>
    <w:p w14:paraId="4281471C" w14:textId="77777777" w:rsidR="00D219EF" w:rsidRPr="00183434" w:rsidRDefault="00D219EF" w:rsidP="00183434">
      <w:pPr>
        <w:jc w:val="both"/>
        <w:rPr>
          <w:rFonts w:cs="Arial"/>
          <w:b/>
          <w:bCs/>
          <w:sz w:val="23"/>
          <w:szCs w:val="23"/>
        </w:rPr>
      </w:pPr>
      <w:r w:rsidRPr="00183434">
        <w:rPr>
          <w:rFonts w:cs="Arial"/>
          <w:b/>
          <w:bCs/>
          <w:sz w:val="23"/>
          <w:szCs w:val="23"/>
        </w:rPr>
        <w:t>Training and staff Development</w:t>
      </w:r>
    </w:p>
    <w:p w14:paraId="7491D343" w14:textId="77777777" w:rsidR="00D219EF" w:rsidRPr="00183434" w:rsidRDefault="00D219EF" w:rsidP="00183434">
      <w:pPr>
        <w:jc w:val="both"/>
        <w:rPr>
          <w:rFonts w:cs="Arial"/>
          <w:sz w:val="23"/>
          <w:szCs w:val="23"/>
        </w:rPr>
      </w:pPr>
    </w:p>
    <w:p w14:paraId="1962A63B" w14:textId="77777777" w:rsidR="00D219EF" w:rsidRPr="00183434" w:rsidRDefault="00D219EF" w:rsidP="00183434">
      <w:pPr>
        <w:jc w:val="both"/>
        <w:rPr>
          <w:rFonts w:cs="Arial"/>
          <w:sz w:val="23"/>
          <w:szCs w:val="23"/>
        </w:rPr>
      </w:pPr>
      <w:r w:rsidRPr="00183434">
        <w:rPr>
          <w:rFonts w:cs="Arial"/>
          <w:sz w:val="23"/>
          <w:szCs w:val="23"/>
        </w:rPr>
        <w:t>To ensure compliance with relevant laws and regulations, internal policies and procedures Chesterfield Borough Council has a comprehensive induction package and provides training for staff and Members on a regular basis. Staff training needs are identified through employee valuing individuals and performance (VIP) reviews and continuous professional development is encouraged. Apprenticeship training schemes are available for new employees and for the existing workforce. Member training requirements are identified via the Member Development Group and the Member Development, Support and Parental Leave Policy. There is an online learning tool that includes a comprehensive bank of training modules for both members and officers.</w:t>
      </w:r>
    </w:p>
    <w:p w14:paraId="788FE6B1" w14:textId="77777777" w:rsidR="00D219EF" w:rsidRPr="00183434" w:rsidRDefault="00D219EF" w:rsidP="00183434">
      <w:pPr>
        <w:jc w:val="both"/>
        <w:rPr>
          <w:rFonts w:cs="Arial"/>
          <w:color w:val="FF0000"/>
          <w:sz w:val="23"/>
          <w:szCs w:val="23"/>
        </w:rPr>
      </w:pPr>
    </w:p>
    <w:p w14:paraId="27AC8F7E" w14:textId="77777777" w:rsidR="00183434" w:rsidRDefault="00183434">
      <w:pPr>
        <w:rPr>
          <w:rFonts w:cs="Arial"/>
          <w:b/>
          <w:bCs/>
          <w:sz w:val="23"/>
          <w:szCs w:val="23"/>
        </w:rPr>
      </w:pPr>
      <w:r>
        <w:rPr>
          <w:rFonts w:cs="Arial"/>
          <w:b/>
          <w:bCs/>
          <w:sz w:val="23"/>
          <w:szCs w:val="23"/>
        </w:rPr>
        <w:br w:type="page"/>
      </w:r>
    </w:p>
    <w:p w14:paraId="43921C85" w14:textId="30898B2A" w:rsidR="00D219EF" w:rsidRPr="00183434" w:rsidRDefault="00D219EF" w:rsidP="00183434">
      <w:pPr>
        <w:jc w:val="both"/>
        <w:rPr>
          <w:rFonts w:cs="Arial"/>
          <w:b/>
          <w:bCs/>
          <w:sz w:val="23"/>
          <w:szCs w:val="23"/>
        </w:rPr>
      </w:pPr>
      <w:r w:rsidRPr="00183434">
        <w:rPr>
          <w:rFonts w:cs="Arial"/>
          <w:b/>
          <w:bCs/>
          <w:sz w:val="23"/>
          <w:szCs w:val="23"/>
        </w:rPr>
        <w:lastRenderedPageBreak/>
        <w:t>Governance and Partnerships</w:t>
      </w:r>
    </w:p>
    <w:p w14:paraId="575CFCD9" w14:textId="77777777" w:rsidR="00D219EF" w:rsidRPr="00183434" w:rsidRDefault="00D219EF" w:rsidP="00183434">
      <w:pPr>
        <w:jc w:val="both"/>
        <w:rPr>
          <w:rFonts w:cs="Arial"/>
          <w:b/>
          <w:bCs/>
          <w:sz w:val="23"/>
          <w:szCs w:val="23"/>
        </w:rPr>
      </w:pPr>
    </w:p>
    <w:p w14:paraId="255CE534" w14:textId="77777777" w:rsidR="00D219EF" w:rsidRPr="00183434" w:rsidRDefault="00D219EF" w:rsidP="00183434">
      <w:pPr>
        <w:jc w:val="both"/>
        <w:rPr>
          <w:rFonts w:cs="Arial"/>
          <w:sz w:val="23"/>
          <w:szCs w:val="23"/>
        </w:rPr>
      </w:pPr>
      <w:r w:rsidRPr="00183434">
        <w:rPr>
          <w:rFonts w:cs="Arial"/>
          <w:sz w:val="23"/>
          <w:szCs w:val="23"/>
        </w:rPr>
        <w:t xml:space="preserve">The Council works with many partnerships to deliver its aims.  Where the Council has entered partnership arrangements it seeks to ensure that these promote the Council’s vision, its purpose and intended outcomes for citizens and service users and that they are subject to appropriate governance and performance management arrangements. </w:t>
      </w:r>
    </w:p>
    <w:p w14:paraId="77D1C398" w14:textId="77777777" w:rsidR="00D219EF" w:rsidRPr="00183434" w:rsidRDefault="00D219EF" w:rsidP="00183434">
      <w:pPr>
        <w:jc w:val="both"/>
        <w:rPr>
          <w:rFonts w:cs="Arial"/>
          <w:sz w:val="23"/>
          <w:szCs w:val="23"/>
        </w:rPr>
      </w:pPr>
    </w:p>
    <w:p w14:paraId="454997E7" w14:textId="77777777" w:rsidR="00D219EF" w:rsidRPr="00183434" w:rsidRDefault="00D219EF" w:rsidP="00183434">
      <w:pPr>
        <w:pStyle w:val="pf0"/>
        <w:jc w:val="both"/>
        <w:rPr>
          <w:rFonts w:ascii="Arial" w:hAnsi="Arial" w:cs="Arial"/>
          <w:i/>
          <w:iCs/>
          <w:sz w:val="23"/>
          <w:szCs w:val="23"/>
        </w:rPr>
      </w:pPr>
      <w:r w:rsidRPr="00183434">
        <w:rPr>
          <w:rStyle w:val="cf01"/>
          <w:rFonts w:ascii="Arial" w:hAnsi="Arial" w:cs="Arial"/>
          <w:i w:val="0"/>
          <w:iCs w:val="0"/>
          <w:sz w:val="23"/>
          <w:szCs w:val="23"/>
        </w:rPr>
        <w:t xml:space="preserve">The Council works actively in </w:t>
      </w:r>
      <w:proofErr w:type="gramStart"/>
      <w:r w:rsidRPr="00183434">
        <w:rPr>
          <w:rStyle w:val="cf01"/>
          <w:rFonts w:ascii="Arial" w:hAnsi="Arial" w:cs="Arial"/>
          <w:i w:val="0"/>
          <w:iCs w:val="0"/>
          <w:sz w:val="23"/>
          <w:szCs w:val="23"/>
        </w:rPr>
        <w:t>a number of</w:t>
      </w:r>
      <w:proofErr w:type="gramEnd"/>
      <w:r w:rsidRPr="00183434">
        <w:rPr>
          <w:rStyle w:val="cf01"/>
          <w:rFonts w:ascii="Arial" w:hAnsi="Arial" w:cs="Arial"/>
          <w:i w:val="0"/>
          <w:iCs w:val="0"/>
          <w:sz w:val="23"/>
          <w:szCs w:val="23"/>
        </w:rPr>
        <w:t xml:space="preserve"> partnerships aimed at creating a thriving borough and improving quality of life outcomes through a range of activities across the borough. At a county level, these partnerships include, the Integrated Care Partnership, the Derbyshire Health and Wellbeing Board and the Safer Derbyshire partnership. At a Chesterfield borough </w:t>
      </w:r>
      <w:proofErr w:type="gramStart"/>
      <w:r w:rsidRPr="00183434">
        <w:rPr>
          <w:rStyle w:val="cf01"/>
          <w:rFonts w:ascii="Arial" w:hAnsi="Arial" w:cs="Arial"/>
          <w:i w:val="0"/>
          <w:iCs w:val="0"/>
          <w:sz w:val="23"/>
          <w:szCs w:val="23"/>
        </w:rPr>
        <w:t>level</w:t>
      </w:r>
      <w:proofErr w:type="gramEnd"/>
      <w:r w:rsidRPr="00183434">
        <w:rPr>
          <w:rStyle w:val="cf01"/>
          <w:rFonts w:ascii="Arial" w:hAnsi="Arial" w:cs="Arial"/>
          <w:i w:val="0"/>
          <w:iCs w:val="0"/>
          <w:sz w:val="23"/>
          <w:szCs w:val="23"/>
        </w:rPr>
        <w:t xml:space="preserve"> the Council makes a significant contribution to the Health and Wellbeing Partnership, Community Safety Partnership, Local Neighbourhood Alliance, Destination Chesterfield and the Skills and Employment partnership. The activities are progressed with local partners, across the public, private and community and voluntary sector.</w:t>
      </w:r>
    </w:p>
    <w:p w14:paraId="33555229" w14:textId="77777777" w:rsidR="00D219EF" w:rsidRPr="00183434" w:rsidRDefault="00D219EF" w:rsidP="00183434">
      <w:pPr>
        <w:jc w:val="both"/>
        <w:rPr>
          <w:rFonts w:cs="Arial"/>
          <w:sz w:val="23"/>
          <w:szCs w:val="23"/>
        </w:rPr>
      </w:pPr>
    </w:p>
    <w:p w14:paraId="6B3DAF2E" w14:textId="77777777" w:rsidR="00D219EF" w:rsidRPr="00183434" w:rsidRDefault="00D219EF" w:rsidP="00183434">
      <w:pPr>
        <w:jc w:val="both"/>
        <w:rPr>
          <w:rFonts w:cs="Arial"/>
          <w:sz w:val="23"/>
          <w:szCs w:val="23"/>
        </w:rPr>
      </w:pPr>
      <w:r w:rsidRPr="00183434">
        <w:rPr>
          <w:rFonts w:cs="Arial"/>
          <w:sz w:val="23"/>
          <w:szCs w:val="23"/>
        </w:rPr>
        <w:t>The Council works closely with the East Midlands Combined County Authority.  Key work areas have focussed on economic growth, inward investment, people and skills and the development of a UKSPF investment plan.</w:t>
      </w:r>
    </w:p>
    <w:p w14:paraId="38767212" w14:textId="77777777" w:rsidR="00D219EF" w:rsidRPr="00183434" w:rsidRDefault="00D219EF" w:rsidP="00183434">
      <w:pPr>
        <w:jc w:val="both"/>
        <w:rPr>
          <w:rFonts w:cs="Arial"/>
          <w:color w:val="FF0000"/>
          <w:sz w:val="23"/>
          <w:szCs w:val="23"/>
        </w:rPr>
      </w:pPr>
    </w:p>
    <w:p w14:paraId="3302E7D8" w14:textId="77777777" w:rsidR="00D219EF" w:rsidRPr="00183434" w:rsidRDefault="00D219EF" w:rsidP="00183434">
      <w:pPr>
        <w:jc w:val="both"/>
        <w:rPr>
          <w:rFonts w:cs="Arial"/>
          <w:sz w:val="23"/>
          <w:szCs w:val="23"/>
        </w:rPr>
      </w:pPr>
      <w:r w:rsidRPr="00183434">
        <w:rPr>
          <w:rFonts w:cs="Arial"/>
          <w:sz w:val="23"/>
          <w:szCs w:val="23"/>
        </w:rPr>
        <w:t>Building Control are part of a limited company (The Derbyshire Building Control Partnership). There are a series of legal agreements that support the company including a shareholder agreement and a service level agreement. A separate Board has been set up to govern the company. The company continues to perform well.</w:t>
      </w:r>
    </w:p>
    <w:p w14:paraId="11851201" w14:textId="77777777" w:rsidR="00D219EF" w:rsidRPr="00183434" w:rsidRDefault="00D219EF" w:rsidP="00183434">
      <w:pPr>
        <w:ind w:left="1080"/>
        <w:jc w:val="both"/>
        <w:rPr>
          <w:rFonts w:cs="Arial"/>
          <w:color w:val="FF0000"/>
          <w:sz w:val="23"/>
          <w:szCs w:val="23"/>
        </w:rPr>
      </w:pPr>
    </w:p>
    <w:p w14:paraId="39105D3F" w14:textId="77777777" w:rsidR="00D219EF" w:rsidRPr="00183434" w:rsidRDefault="00D219EF" w:rsidP="00183434">
      <w:pPr>
        <w:jc w:val="both"/>
        <w:rPr>
          <w:rFonts w:cs="Arial"/>
          <w:b/>
          <w:sz w:val="23"/>
          <w:szCs w:val="23"/>
        </w:rPr>
      </w:pPr>
      <w:r w:rsidRPr="00183434">
        <w:rPr>
          <w:rFonts w:cs="Arial"/>
          <w:b/>
          <w:sz w:val="23"/>
          <w:szCs w:val="23"/>
        </w:rPr>
        <w:t>How we have improved our governance arrangements in 2025/26</w:t>
      </w:r>
    </w:p>
    <w:p w14:paraId="43D60C28" w14:textId="77777777" w:rsidR="00D219EF" w:rsidRPr="00183434" w:rsidRDefault="00D219EF" w:rsidP="00183434">
      <w:pPr>
        <w:jc w:val="both"/>
        <w:rPr>
          <w:rFonts w:cs="Arial"/>
          <w:sz w:val="23"/>
          <w:szCs w:val="23"/>
        </w:rPr>
      </w:pPr>
    </w:p>
    <w:p w14:paraId="059D454F" w14:textId="77777777" w:rsidR="00D219EF" w:rsidRPr="00183434" w:rsidRDefault="00D219EF" w:rsidP="00183434">
      <w:pPr>
        <w:jc w:val="both"/>
        <w:rPr>
          <w:rFonts w:cs="Arial"/>
          <w:sz w:val="23"/>
          <w:szCs w:val="23"/>
        </w:rPr>
      </w:pPr>
      <w:r w:rsidRPr="00183434">
        <w:rPr>
          <w:rFonts w:cs="Arial"/>
          <w:sz w:val="23"/>
          <w:szCs w:val="23"/>
        </w:rPr>
        <w:t xml:space="preserve">As part of formulating the 2025/26 Annual Governance Statement a review of progress against the issues raised in 2024/25 has taken place. Positive progress has been made and is summarised in the table below. </w:t>
      </w:r>
    </w:p>
    <w:p w14:paraId="7D7894F4" w14:textId="77777777" w:rsidR="00D219EF" w:rsidRPr="00183434" w:rsidRDefault="00D219EF" w:rsidP="00183434">
      <w:pPr>
        <w:jc w:val="both"/>
        <w:rPr>
          <w:rFonts w:cs="Arial"/>
          <w:b/>
          <w:color w:val="FF0000"/>
          <w:sz w:val="23"/>
          <w:szCs w:val="23"/>
        </w:rPr>
      </w:pPr>
    </w:p>
    <w:p w14:paraId="15F749C2" w14:textId="77777777" w:rsidR="00D219EF" w:rsidRPr="00183434" w:rsidRDefault="00D219EF" w:rsidP="00183434">
      <w:pPr>
        <w:keepNext/>
        <w:jc w:val="both"/>
        <w:outlineLvl w:val="1"/>
        <w:rPr>
          <w:rFonts w:cs="Arial"/>
          <w:color w:val="FF0000"/>
          <w:sz w:val="23"/>
          <w:szCs w:val="23"/>
        </w:rPr>
      </w:pPr>
      <w:r w:rsidRPr="00183434">
        <w:rPr>
          <w:rFonts w:cs="Arial"/>
          <w:color w:val="FF0000"/>
          <w:sz w:val="23"/>
          <w:szCs w:val="23"/>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5103"/>
      </w:tblGrid>
      <w:tr w:rsidR="00D219EF" w:rsidRPr="00183434" w14:paraId="07B348B6" w14:textId="77777777" w:rsidTr="003C6937">
        <w:tc>
          <w:tcPr>
            <w:tcW w:w="675" w:type="dxa"/>
          </w:tcPr>
          <w:p w14:paraId="4AD5475B" w14:textId="77777777" w:rsidR="00D219EF" w:rsidRPr="00183434" w:rsidRDefault="00D219EF" w:rsidP="00183434">
            <w:pPr>
              <w:jc w:val="both"/>
              <w:rPr>
                <w:rFonts w:cs="Arial"/>
                <w:b/>
                <w:sz w:val="23"/>
                <w:szCs w:val="23"/>
              </w:rPr>
            </w:pPr>
            <w:r w:rsidRPr="00183434">
              <w:rPr>
                <w:rFonts w:cs="Arial"/>
                <w:b/>
                <w:sz w:val="23"/>
                <w:szCs w:val="23"/>
              </w:rPr>
              <w:t>No.</w:t>
            </w:r>
          </w:p>
        </w:tc>
        <w:tc>
          <w:tcPr>
            <w:tcW w:w="4395" w:type="dxa"/>
          </w:tcPr>
          <w:p w14:paraId="731F4A84" w14:textId="77777777" w:rsidR="00D219EF" w:rsidRPr="00183434" w:rsidRDefault="00D219EF" w:rsidP="00183434">
            <w:pPr>
              <w:jc w:val="both"/>
              <w:rPr>
                <w:rFonts w:cs="Arial"/>
                <w:b/>
                <w:sz w:val="23"/>
                <w:szCs w:val="23"/>
              </w:rPr>
            </w:pPr>
            <w:r w:rsidRPr="00183434">
              <w:rPr>
                <w:rFonts w:cs="Arial"/>
                <w:b/>
                <w:sz w:val="23"/>
                <w:szCs w:val="23"/>
              </w:rPr>
              <w:t>Issue Identified 2024/25</w:t>
            </w:r>
          </w:p>
        </w:tc>
        <w:tc>
          <w:tcPr>
            <w:tcW w:w="5103" w:type="dxa"/>
          </w:tcPr>
          <w:p w14:paraId="127AAFB4" w14:textId="77777777" w:rsidR="00D219EF" w:rsidRPr="00183434" w:rsidRDefault="00D219EF" w:rsidP="00183434">
            <w:pPr>
              <w:jc w:val="both"/>
              <w:rPr>
                <w:rFonts w:cs="Arial"/>
                <w:b/>
                <w:sz w:val="23"/>
                <w:szCs w:val="23"/>
              </w:rPr>
            </w:pPr>
            <w:r w:rsidRPr="00183434">
              <w:rPr>
                <w:rFonts w:cs="Arial"/>
                <w:b/>
                <w:sz w:val="23"/>
                <w:szCs w:val="23"/>
              </w:rPr>
              <w:t>Action taken during 2025/26 to address the issue</w:t>
            </w:r>
          </w:p>
        </w:tc>
      </w:tr>
      <w:tr w:rsidR="00D219EF" w:rsidRPr="00183434" w14:paraId="6C7947A4" w14:textId="77777777" w:rsidTr="003C6937">
        <w:tc>
          <w:tcPr>
            <w:tcW w:w="675" w:type="dxa"/>
          </w:tcPr>
          <w:p w14:paraId="03F92A10" w14:textId="77777777" w:rsidR="00D219EF" w:rsidRPr="00183434" w:rsidRDefault="00D219EF" w:rsidP="00183434">
            <w:pPr>
              <w:jc w:val="both"/>
              <w:rPr>
                <w:rFonts w:cs="Arial"/>
                <w:sz w:val="23"/>
                <w:szCs w:val="23"/>
              </w:rPr>
            </w:pPr>
            <w:r w:rsidRPr="00183434">
              <w:rPr>
                <w:rFonts w:cs="Arial"/>
                <w:sz w:val="23"/>
                <w:szCs w:val="23"/>
              </w:rPr>
              <w:t>1.</w:t>
            </w:r>
          </w:p>
        </w:tc>
        <w:tc>
          <w:tcPr>
            <w:tcW w:w="4395" w:type="dxa"/>
          </w:tcPr>
          <w:p w14:paraId="08CF6748" w14:textId="77777777" w:rsidR="00D219EF" w:rsidRPr="00183434" w:rsidRDefault="00D219EF" w:rsidP="00183434">
            <w:pPr>
              <w:jc w:val="both"/>
              <w:rPr>
                <w:rFonts w:cs="Arial"/>
                <w:b/>
                <w:bCs/>
                <w:sz w:val="23"/>
                <w:szCs w:val="23"/>
              </w:rPr>
            </w:pPr>
            <w:r w:rsidRPr="00183434">
              <w:rPr>
                <w:rFonts w:cs="Arial"/>
                <w:b/>
                <w:bCs/>
                <w:sz w:val="23"/>
                <w:szCs w:val="23"/>
              </w:rPr>
              <w:t>Financial Sustainability</w:t>
            </w:r>
          </w:p>
          <w:p w14:paraId="17B9E2DE" w14:textId="77777777" w:rsidR="00D219EF" w:rsidRPr="00183434" w:rsidRDefault="00D219EF" w:rsidP="00183434">
            <w:pPr>
              <w:jc w:val="both"/>
              <w:rPr>
                <w:rFonts w:cs="Arial"/>
                <w:b/>
                <w:bCs/>
                <w:sz w:val="23"/>
                <w:szCs w:val="23"/>
              </w:rPr>
            </w:pPr>
          </w:p>
          <w:p w14:paraId="51410A7B" w14:textId="77777777" w:rsidR="00D219EF" w:rsidRPr="00183434" w:rsidRDefault="00D219EF" w:rsidP="00183434">
            <w:pPr>
              <w:jc w:val="both"/>
              <w:rPr>
                <w:rFonts w:cs="Arial"/>
                <w:sz w:val="23"/>
                <w:szCs w:val="23"/>
              </w:rPr>
            </w:pPr>
            <w:r w:rsidRPr="00183434">
              <w:rPr>
                <w:rFonts w:cs="Arial"/>
                <w:sz w:val="23"/>
                <w:szCs w:val="23"/>
              </w:rPr>
              <w:t>Like all local authorities, Chesterfield Borough Council continues to face</w:t>
            </w:r>
          </w:p>
          <w:p w14:paraId="473BF47D" w14:textId="77777777" w:rsidR="00D219EF" w:rsidRPr="00183434" w:rsidRDefault="00D219EF" w:rsidP="00183434">
            <w:pPr>
              <w:jc w:val="both"/>
              <w:rPr>
                <w:rFonts w:cs="Arial"/>
                <w:sz w:val="23"/>
                <w:szCs w:val="23"/>
              </w:rPr>
            </w:pPr>
            <w:r w:rsidRPr="00183434">
              <w:rPr>
                <w:rFonts w:cs="Arial"/>
                <w:sz w:val="23"/>
                <w:szCs w:val="23"/>
              </w:rPr>
              <w:t>significant financial challenges. The sustained period of austerity since 2010, the ongoing risks and uncertainties over future funding arrangements, the budgetary impacts of the Covid-19 pandemic, the cost-of-living crisis and a sustained period of exceptionally high inflation, have all impacted on the Council’s financial position.</w:t>
            </w:r>
          </w:p>
          <w:p w14:paraId="621F3726" w14:textId="77777777" w:rsidR="00D219EF" w:rsidRPr="00183434" w:rsidRDefault="00D219EF" w:rsidP="00183434">
            <w:pPr>
              <w:ind w:left="720"/>
              <w:jc w:val="both"/>
              <w:rPr>
                <w:rFonts w:cs="Arial"/>
                <w:sz w:val="23"/>
                <w:szCs w:val="23"/>
              </w:rPr>
            </w:pPr>
          </w:p>
        </w:tc>
        <w:tc>
          <w:tcPr>
            <w:tcW w:w="5103" w:type="dxa"/>
          </w:tcPr>
          <w:p w14:paraId="6293A18B" w14:textId="77777777" w:rsidR="00D219EF" w:rsidRPr="00183434" w:rsidRDefault="00D219EF" w:rsidP="00183434">
            <w:pPr>
              <w:spacing w:after="160" w:line="259" w:lineRule="auto"/>
              <w:ind w:left="34"/>
              <w:contextualSpacing/>
              <w:jc w:val="both"/>
              <w:rPr>
                <w:rFonts w:cs="Arial"/>
                <w:sz w:val="23"/>
                <w:szCs w:val="23"/>
              </w:rPr>
            </w:pPr>
          </w:p>
          <w:p w14:paraId="54A92B2F" w14:textId="77777777" w:rsidR="00D219EF" w:rsidRPr="00183434" w:rsidRDefault="00D219EF" w:rsidP="00183434">
            <w:pPr>
              <w:spacing w:after="160" w:line="259" w:lineRule="auto"/>
              <w:ind w:left="34"/>
              <w:contextualSpacing/>
              <w:jc w:val="both"/>
              <w:rPr>
                <w:rFonts w:cs="Arial"/>
                <w:sz w:val="23"/>
                <w:szCs w:val="23"/>
              </w:rPr>
            </w:pPr>
          </w:p>
          <w:p w14:paraId="78EA942B" w14:textId="77777777" w:rsidR="00D219EF" w:rsidRPr="00183434" w:rsidRDefault="00D219EF" w:rsidP="00183434">
            <w:pPr>
              <w:spacing w:after="160" w:line="259" w:lineRule="auto"/>
              <w:ind w:left="34"/>
              <w:contextualSpacing/>
              <w:jc w:val="both"/>
              <w:rPr>
                <w:rFonts w:cs="Arial"/>
                <w:color w:val="FF0000"/>
                <w:sz w:val="23"/>
                <w:szCs w:val="23"/>
              </w:rPr>
            </w:pPr>
            <w:r w:rsidRPr="00183434">
              <w:rPr>
                <w:rFonts w:cs="Arial"/>
                <w:sz w:val="23"/>
                <w:szCs w:val="23"/>
              </w:rPr>
              <w:t xml:space="preserve">The Council has well-established and robust budget processes. These were followed when compiling the 2025/26 budget and medium-term projections. A prudent approach was applied to estimates and assumptions used in the preparation of Directorate budgets, with priority given to funding existing and emerging service pressures. These were subject to rigorous review, scrutiny and challenge by budget holders, Corporate Leadership Team and Portfolio Holders. </w:t>
            </w:r>
          </w:p>
          <w:p w14:paraId="5A433D9D" w14:textId="77777777" w:rsidR="00D219EF" w:rsidRPr="00183434" w:rsidRDefault="00D219EF" w:rsidP="00183434">
            <w:pPr>
              <w:spacing w:after="160" w:line="259" w:lineRule="auto"/>
              <w:ind w:left="34"/>
              <w:contextualSpacing/>
              <w:jc w:val="both"/>
              <w:rPr>
                <w:rFonts w:cs="Arial"/>
                <w:color w:val="FF0000"/>
                <w:sz w:val="23"/>
                <w:szCs w:val="23"/>
              </w:rPr>
            </w:pPr>
          </w:p>
          <w:p w14:paraId="609FA3F3"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 xml:space="preserve">In developing the 2025/26 General Fund Revenue budget, the focus was to deliver a balanced annual budget that continued to support delivery of the Council Plan rather than to deliver a balanced multi-year medium-term </w:t>
            </w:r>
            <w:r w:rsidRPr="00183434">
              <w:rPr>
                <w:rFonts w:cs="Arial"/>
                <w:sz w:val="23"/>
                <w:szCs w:val="23"/>
              </w:rPr>
              <w:lastRenderedPageBreak/>
              <w:t xml:space="preserve">financial plan in the face of continued economic and funding uncertainty, especially regarding major changes to the Government’s future settlement funding system. </w:t>
            </w:r>
          </w:p>
          <w:p w14:paraId="67617B0A" w14:textId="77777777" w:rsidR="00D219EF" w:rsidRPr="00183434" w:rsidRDefault="00D219EF" w:rsidP="00183434">
            <w:pPr>
              <w:spacing w:after="160" w:line="259" w:lineRule="auto"/>
              <w:ind w:left="34"/>
              <w:contextualSpacing/>
              <w:jc w:val="both"/>
              <w:rPr>
                <w:rFonts w:cs="Arial"/>
                <w:sz w:val="23"/>
                <w:szCs w:val="23"/>
              </w:rPr>
            </w:pPr>
          </w:p>
          <w:p w14:paraId="21BA1FB4"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 xml:space="preserve">The Council approved the General Fund Revenue Budget for 2025/26 on 26 February 2025. This budget was constructed in accordance with the Council’s budget principles and balanced with £903k ongoing savings from better-than-expected </w:t>
            </w:r>
          </w:p>
          <w:p w14:paraId="7C5EF389"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 xml:space="preserve">outcomes from budget proposals delivered in previous financial years, £150k additional income from revised fees and charges, the application of £676k available grant funding for </w:t>
            </w:r>
            <w:proofErr w:type="gramStart"/>
            <w:r w:rsidRPr="00183434">
              <w:rPr>
                <w:rFonts w:cs="Arial"/>
                <w:sz w:val="23"/>
                <w:szCs w:val="23"/>
              </w:rPr>
              <w:t>particular services</w:t>
            </w:r>
            <w:proofErr w:type="gramEnd"/>
            <w:r w:rsidRPr="00183434">
              <w:rPr>
                <w:rFonts w:cs="Arial"/>
                <w:sz w:val="23"/>
                <w:szCs w:val="23"/>
              </w:rPr>
              <w:t xml:space="preserve"> and the one-off use of £730k from a deliberately managed 2024/25 underspend. </w:t>
            </w:r>
          </w:p>
          <w:p w14:paraId="61B1C2FB" w14:textId="77777777" w:rsidR="00D219EF" w:rsidRPr="00183434" w:rsidRDefault="00D219EF" w:rsidP="00183434">
            <w:pPr>
              <w:spacing w:after="160" w:line="259" w:lineRule="auto"/>
              <w:ind w:left="34"/>
              <w:contextualSpacing/>
              <w:jc w:val="both"/>
              <w:rPr>
                <w:rFonts w:cs="Arial"/>
                <w:sz w:val="23"/>
                <w:szCs w:val="23"/>
              </w:rPr>
            </w:pPr>
          </w:p>
          <w:p w14:paraId="7B920CE5" w14:textId="77777777" w:rsidR="00D219EF" w:rsidRPr="00183434" w:rsidRDefault="00D219EF" w:rsidP="00183434">
            <w:pPr>
              <w:spacing w:after="160" w:line="259" w:lineRule="auto"/>
              <w:ind w:left="34"/>
              <w:contextualSpacing/>
              <w:jc w:val="both"/>
              <w:rPr>
                <w:rFonts w:cs="Arial"/>
                <w:sz w:val="23"/>
                <w:szCs w:val="23"/>
              </w:rPr>
            </w:pPr>
            <w:r w:rsidRPr="00183434">
              <w:rPr>
                <w:rFonts w:cs="Arial"/>
                <w:sz w:val="23"/>
                <w:szCs w:val="23"/>
              </w:rPr>
              <w:t xml:space="preserve">Each of these approved proposals have been reflected within directorate budgets as appropriate. This ensures accountability for their delivery and enables budget managers to actively monitor as part of the 2025/26 monthly budget monitoring process. </w:t>
            </w:r>
          </w:p>
          <w:p w14:paraId="2D0594BE" w14:textId="77777777" w:rsidR="00D219EF" w:rsidRPr="00183434" w:rsidRDefault="00D219EF" w:rsidP="00183434">
            <w:pPr>
              <w:spacing w:after="160" w:line="259" w:lineRule="auto"/>
              <w:ind w:left="34"/>
              <w:contextualSpacing/>
              <w:jc w:val="both"/>
              <w:rPr>
                <w:rFonts w:cs="Arial"/>
                <w:sz w:val="23"/>
                <w:szCs w:val="23"/>
              </w:rPr>
            </w:pPr>
          </w:p>
          <w:p w14:paraId="4A281810" w14:textId="77777777" w:rsidR="00D219EF" w:rsidRPr="00183434" w:rsidRDefault="00D219EF" w:rsidP="00183434">
            <w:pPr>
              <w:spacing w:after="160" w:line="259" w:lineRule="auto"/>
              <w:ind w:left="34"/>
              <w:contextualSpacing/>
              <w:jc w:val="both"/>
              <w:rPr>
                <w:rFonts w:cs="Arial"/>
                <w:color w:val="FF0000"/>
                <w:sz w:val="23"/>
                <w:szCs w:val="23"/>
              </w:rPr>
            </w:pPr>
            <w:r w:rsidRPr="00183434">
              <w:rPr>
                <w:rFonts w:cs="Arial"/>
                <w:sz w:val="23"/>
                <w:szCs w:val="23"/>
              </w:rPr>
              <w:t>This monthly budget monitoring process has also continued with the previously adopted aim to target a managed in-year underspend.</w:t>
            </w:r>
          </w:p>
          <w:p w14:paraId="7F2FEBE2" w14:textId="77777777" w:rsidR="00D219EF" w:rsidRPr="00183434" w:rsidRDefault="00D219EF" w:rsidP="00183434">
            <w:pPr>
              <w:spacing w:after="160" w:line="259" w:lineRule="auto"/>
              <w:ind w:left="34"/>
              <w:contextualSpacing/>
              <w:jc w:val="both"/>
              <w:rPr>
                <w:rFonts w:cs="Arial"/>
                <w:color w:val="FF0000"/>
                <w:sz w:val="23"/>
                <w:szCs w:val="23"/>
              </w:rPr>
            </w:pPr>
          </w:p>
        </w:tc>
      </w:tr>
      <w:tr w:rsidR="00D219EF" w:rsidRPr="00183434" w14:paraId="73898E4B" w14:textId="77777777" w:rsidTr="003C6937">
        <w:tc>
          <w:tcPr>
            <w:tcW w:w="675" w:type="dxa"/>
          </w:tcPr>
          <w:p w14:paraId="03BE593D" w14:textId="77777777" w:rsidR="00D219EF" w:rsidRPr="00183434" w:rsidRDefault="00D219EF" w:rsidP="00183434">
            <w:pPr>
              <w:jc w:val="both"/>
              <w:rPr>
                <w:rFonts w:cs="Arial"/>
                <w:sz w:val="23"/>
                <w:szCs w:val="23"/>
              </w:rPr>
            </w:pPr>
          </w:p>
          <w:p w14:paraId="387239F9" w14:textId="77777777" w:rsidR="00D219EF" w:rsidRPr="00183434" w:rsidRDefault="00D219EF" w:rsidP="00183434">
            <w:pPr>
              <w:jc w:val="both"/>
              <w:rPr>
                <w:rFonts w:cs="Arial"/>
                <w:sz w:val="23"/>
                <w:szCs w:val="23"/>
              </w:rPr>
            </w:pPr>
            <w:r w:rsidRPr="00183434">
              <w:rPr>
                <w:rFonts w:cs="Arial"/>
                <w:sz w:val="23"/>
                <w:szCs w:val="23"/>
              </w:rPr>
              <w:t>2.</w:t>
            </w:r>
          </w:p>
        </w:tc>
        <w:tc>
          <w:tcPr>
            <w:tcW w:w="4395" w:type="dxa"/>
          </w:tcPr>
          <w:p w14:paraId="1126E3DF" w14:textId="77777777" w:rsidR="00D219EF" w:rsidRPr="00183434" w:rsidRDefault="00D219EF" w:rsidP="00183434">
            <w:pPr>
              <w:jc w:val="both"/>
              <w:rPr>
                <w:rFonts w:cs="Arial"/>
                <w:b/>
                <w:bCs/>
                <w:sz w:val="23"/>
                <w:szCs w:val="23"/>
              </w:rPr>
            </w:pPr>
          </w:p>
          <w:p w14:paraId="1C009065" w14:textId="77777777" w:rsidR="00D219EF" w:rsidRPr="00183434" w:rsidRDefault="00D219EF" w:rsidP="00183434">
            <w:pPr>
              <w:jc w:val="both"/>
              <w:rPr>
                <w:rFonts w:cs="Arial"/>
                <w:b/>
                <w:bCs/>
                <w:sz w:val="23"/>
                <w:szCs w:val="23"/>
              </w:rPr>
            </w:pPr>
            <w:r w:rsidRPr="00183434">
              <w:rPr>
                <w:rFonts w:cs="Arial"/>
                <w:b/>
                <w:bCs/>
                <w:sz w:val="23"/>
                <w:szCs w:val="23"/>
              </w:rPr>
              <w:t>Housing Revenue Account</w:t>
            </w:r>
          </w:p>
          <w:p w14:paraId="5CB036E0" w14:textId="77777777" w:rsidR="00D219EF" w:rsidRPr="00183434" w:rsidRDefault="00D219EF" w:rsidP="00183434">
            <w:pPr>
              <w:jc w:val="both"/>
              <w:rPr>
                <w:rFonts w:cs="Arial"/>
                <w:b/>
                <w:bCs/>
                <w:sz w:val="23"/>
                <w:szCs w:val="23"/>
              </w:rPr>
            </w:pPr>
          </w:p>
          <w:p w14:paraId="6F361473" w14:textId="77777777" w:rsidR="00D219EF" w:rsidRPr="00183434" w:rsidRDefault="00D219EF" w:rsidP="00183434">
            <w:pPr>
              <w:jc w:val="both"/>
              <w:rPr>
                <w:rFonts w:cs="Arial"/>
                <w:sz w:val="23"/>
                <w:szCs w:val="23"/>
              </w:rPr>
            </w:pPr>
            <w:r w:rsidRPr="00183434">
              <w:rPr>
                <w:rFonts w:cs="Arial"/>
                <w:sz w:val="23"/>
                <w:szCs w:val="23"/>
              </w:rPr>
              <w:t>The Council is required to keep a separate account for its activities as a housing landlord. This is called the Housing Revenue Account (HRA).  The account is ring-fenced and does not receive any subsidy from the Government or from Council Tax, and nor is it allowed to subsidise the General Fund.</w:t>
            </w:r>
          </w:p>
          <w:p w14:paraId="08BB8142" w14:textId="77777777" w:rsidR="00D219EF" w:rsidRPr="00183434" w:rsidRDefault="00D219EF" w:rsidP="00183434">
            <w:pPr>
              <w:jc w:val="both"/>
              <w:rPr>
                <w:rFonts w:cs="Arial"/>
                <w:sz w:val="23"/>
                <w:szCs w:val="23"/>
              </w:rPr>
            </w:pPr>
          </w:p>
          <w:p w14:paraId="1C5A6FA9" w14:textId="77777777" w:rsidR="00D219EF" w:rsidRPr="00183434" w:rsidRDefault="00D219EF" w:rsidP="00183434">
            <w:pPr>
              <w:jc w:val="both"/>
              <w:rPr>
                <w:rFonts w:cs="Arial"/>
                <w:b/>
                <w:bCs/>
                <w:sz w:val="23"/>
                <w:szCs w:val="23"/>
              </w:rPr>
            </w:pPr>
            <w:r w:rsidRPr="00183434">
              <w:rPr>
                <w:rFonts w:cs="Arial"/>
                <w:sz w:val="23"/>
                <w:szCs w:val="23"/>
              </w:rPr>
              <w:t>As a result of the introduction of self-financing in April 2012 the Council is required to produce a 30-year HRA Business Plan that is financially viable, delivers a reasonable standard of housing for tenants and maintains homes to at least the minimum Decent Homes Standard.</w:t>
            </w:r>
          </w:p>
          <w:p w14:paraId="547A6017" w14:textId="77777777" w:rsidR="00D219EF" w:rsidRPr="00183434" w:rsidRDefault="00D219EF" w:rsidP="00183434">
            <w:pPr>
              <w:jc w:val="both"/>
              <w:rPr>
                <w:rFonts w:cs="Arial"/>
                <w:sz w:val="23"/>
                <w:szCs w:val="23"/>
              </w:rPr>
            </w:pPr>
            <w:r w:rsidRPr="00183434">
              <w:rPr>
                <w:rFonts w:cs="Arial"/>
                <w:sz w:val="23"/>
                <w:szCs w:val="23"/>
              </w:rPr>
              <w:t xml:space="preserve">Government rent policy has resulted in significant reductions in the resources </w:t>
            </w:r>
            <w:r w:rsidRPr="00183434">
              <w:rPr>
                <w:rFonts w:cs="Arial"/>
                <w:sz w:val="23"/>
                <w:szCs w:val="23"/>
              </w:rPr>
              <w:lastRenderedPageBreak/>
              <w:t>available to the Council’s Housing Service in recent years. The mandated rent cap of 7% in 2023/24 (which was 4.1% less rent policy), had the cumulative impact of removing £1.5m</w:t>
            </w:r>
            <w:r w:rsidRPr="00183434">
              <w:rPr>
                <w:rFonts w:cs="Arial"/>
                <w:b/>
                <w:bCs/>
                <w:sz w:val="23"/>
                <w:szCs w:val="23"/>
              </w:rPr>
              <w:t xml:space="preserve"> </w:t>
            </w:r>
            <w:r w:rsidRPr="00183434">
              <w:rPr>
                <w:rFonts w:cs="Arial"/>
                <w:sz w:val="23"/>
                <w:szCs w:val="23"/>
              </w:rPr>
              <w:t>of annual income (after voids) in perpetuity, with an estimated loss over the business plan period in terms of income of £61m. This is in addition to the impact of the four-year rent reductions imposed by Government between 2016 and 2020 and ending of rent convergence, which further reduced the amount of income available to the 30-year Business Plan.</w:t>
            </w:r>
          </w:p>
          <w:p w14:paraId="75C526F2" w14:textId="77777777" w:rsidR="00D219EF" w:rsidRPr="00183434" w:rsidRDefault="00D219EF" w:rsidP="00183434">
            <w:pPr>
              <w:jc w:val="both"/>
              <w:rPr>
                <w:rFonts w:cs="Arial"/>
                <w:sz w:val="23"/>
                <w:szCs w:val="23"/>
              </w:rPr>
            </w:pPr>
          </w:p>
          <w:p w14:paraId="277414E4" w14:textId="77777777" w:rsidR="00D219EF" w:rsidRPr="00183434" w:rsidRDefault="00D219EF" w:rsidP="00183434">
            <w:pPr>
              <w:jc w:val="both"/>
              <w:rPr>
                <w:rFonts w:cs="Arial"/>
                <w:sz w:val="23"/>
                <w:szCs w:val="23"/>
              </w:rPr>
            </w:pPr>
            <w:r w:rsidRPr="00183434">
              <w:rPr>
                <w:rFonts w:cs="Arial"/>
                <w:sz w:val="23"/>
                <w:szCs w:val="23"/>
              </w:rPr>
              <w:t>The HRA has been significantly impacted by the rapid increase in inflation. This has resulted in additional costs relating to pay awards, utilities and contracts, due to material, fuel, and labour cost increases, both in the current financial year, as well as across the MTFP.</w:t>
            </w:r>
          </w:p>
          <w:p w14:paraId="2B5235C9" w14:textId="77777777" w:rsidR="00D219EF" w:rsidRPr="00183434" w:rsidRDefault="00D219EF" w:rsidP="00183434">
            <w:pPr>
              <w:jc w:val="both"/>
              <w:rPr>
                <w:rFonts w:cs="Arial"/>
                <w:sz w:val="23"/>
                <w:szCs w:val="23"/>
              </w:rPr>
            </w:pPr>
          </w:p>
          <w:p w14:paraId="0BE63A63" w14:textId="77777777" w:rsidR="00D219EF" w:rsidRPr="00183434" w:rsidRDefault="00D219EF" w:rsidP="00183434">
            <w:pPr>
              <w:jc w:val="both"/>
              <w:rPr>
                <w:rFonts w:cs="Arial"/>
                <w:b/>
                <w:bCs/>
                <w:sz w:val="23"/>
                <w:szCs w:val="23"/>
              </w:rPr>
            </w:pPr>
            <w:r w:rsidRPr="00183434">
              <w:rPr>
                <w:rFonts w:cs="Arial"/>
                <w:sz w:val="23"/>
                <w:szCs w:val="23"/>
              </w:rPr>
              <w:t>The internal audit review of housing voids resulted in a Limited assurance opinion.</w:t>
            </w:r>
          </w:p>
        </w:tc>
        <w:tc>
          <w:tcPr>
            <w:tcW w:w="5103" w:type="dxa"/>
          </w:tcPr>
          <w:p w14:paraId="1A5A9DB1" w14:textId="77777777" w:rsidR="00D219EF" w:rsidRPr="00183434" w:rsidRDefault="00D219EF" w:rsidP="00183434">
            <w:pPr>
              <w:pStyle w:val="ListParagraph"/>
              <w:spacing w:after="160" w:line="259" w:lineRule="auto"/>
              <w:ind w:left="34"/>
              <w:jc w:val="both"/>
              <w:rPr>
                <w:rFonts w:ascii="Arial" w:hAnsi="Arial" w:cs="Arial"/>
                <w:sz w:val="23"/>
                <w:szCs w:val="23"/>
              </w:rPr>
            </w:pPr>
          </w:p>
          <w:p w14:paraId="21604BD8" w14:textId="77777777" w:rsidR="00D219EF" w:rsidRPr="00183434" w:rsidRDefault="00D219EF" w:rsidP="00183434">
            <w:pPr>
              <w:pStyle w:val="ListParagraph"/>
              <w:spacing w:after="160" w:line="259" w:lineRule="auto"/>
              <w:ind w:left="34"/>
              <w:jc w:val="both"/>
              <w:rPr>
                <w:rFonts w:ascii="Arial" w:hAnsi="Arial" w:cs="Arial"/>
                <w:sz w:val="23"/>
                <w:szCs w:val="23"/>
              </w:rPr>
            </w:pPr>
          </w:p>
          <w:p w14:paraId="064A6E52" w14:textId="77777777" w:rsidR="00D219EF" w:rsidRPr="00183434" w:rsidRDefault="00D219EF" w:rsidP="00183434">
            <w:pPr>
              <w:pStyle w:val="ListParagraph"/>
              <w:spacing w:after="160" w:line="259" w:lineRule="auto"/>
              <w:ind w:left="34"/>
              <w:jc w:val="both"/>
              <w:rPr>
                <w:rFonts w:ascii="Arial" w:hAnsi="Arial" w:cs="Arial"/>
                <w:sz w:val="23"/>
                <w:szCs w:val="23"/>
              </w:rPr>
            </w:pPr>
          </w:p>
          <w:p w14:paraId="7076F2E3" w14:textId="77777777" w:rsidR="00D219EF" w:rsidRPr="00183434" w:rsidRDefault="00D219EF" w:rsidP="00183434">
            <w:pPr>
              <w:pStyle w:val="ListParagraph"/>
              <w:spacing w:after="160" w:line="259" w:lineRule="auto"/>
              <w:ind w:left="34"/>
              <w:jc w:val="both"/>
              <w:rPr>
                <w:rFonts w:ascii="Arial" w:hAnsi="Arial" w:cs="Arial"/>
                <w:sz w:val="23"/>
                <w:szCs w:val="23"/>
              </w:rPr>
            </w:pPr>
            <w:r w:rsidRPr="00183434">
              <w:rPr>
                <w:rFonts w:ascii="Arial" w:hAnsi="Arial" w:cs="Arial"/>
                <w:sz w:val="23"/>
                <w:szCs w:val="23"/>
              </w:rPr>
              <w:t xml:space="preserve">During 2025/26 a review of the HRA MTFP and 30-year Business Plan was undertaken to review the assumptions informing their construction, the finances needed to maintain the Council’s housing stock at least to the minimum Decent Homes Standard and achieve compliance with new regulatory standards, and identify the savings and efficiencies to maintain a balanced, risk-adjusted and financially resilient HRA.  </w:t>
            </w:r>
          </w:p>
          <w:p w14:paraId="1E50EA06" w14:textId="77777777" w:rsidR="00D219EF" w:rsidRPr="00183434" w:rsidRDefault="00D219EF" w:rsidP="00183434">
            <w:pPr>
              <w:pStyle w:val="ListParagraph"/>
              <w:spacing w:after="160" w:line="259" w:lineRule="auto"/>
              <w:ind w:left="34"/>
              <w:jc w:val="both"/>
              <w:rPr>
                <w:rFonts w:ascii="Arial" w:hAnsi="Arial" w:cs="Arial"/>
                <w:sz w:val="23"/>
                <w:szCs w:val="23"/>
              </w:rPr>
            </w:pPr>
          </w:p>
          <w:p w14:paraId="212EAFE3" w14:textId="77777777" w:rsidR="00D219EF" w:rsidRPr="00183434" w:rsidRDefault="00D219EF" w:rsidP="00183434">
            <w:pPr>
              <w:pStyle w:val="ListParagraph"/>
              <w:spacing w:after="160" w:line="259" w:lineRule="auto"/>
              <w:ind w:left="34"/>
              <w:jc w:val="both"/>
              <w:rPr>
                <w:rFonts w:ascii="Arial" w:hAnsi="Arial" w:cs="Arial"/>
                <w:sz w:val="23"/>
                <w:szCs w:val="23"/>
              </w:rPr>
            </w:pPr>
            <w:r w:rsidRPr="00183434">
              <w:rPr>
                <w:rFonts w:ascii="Arial" w:hAnsi="Arial" w:cs="Arial"/>
                <w:sz w:val="23"/>
                <w:szCs w:val="23"/>
              </w:rPr>
              <w:t xml:space="preserve">The Business Plan was refreshed based on revised assumptions to take account of the increased cost pressures, the cost-of-living challenges facing tenants, the enhanced focus </w:t>
            </w:r>
            <w:r w:rsidRPr="00183434">
              <w:rPr>
                <w:rFonts w:ascii="Arial" w:hAnsi="Arial" w:cs="Arial"/>
                <w:sz w:val="23"/>
                <w:szCs w:val="23"/>
              </w:rPr>
              <w:lastRenderedPageBreak/>
              <w:t xml:space="preserve">on compliance and regulation, and the time for planned transformation activities to deliver the required efficiencies. </w:t>
            </w:r>
          </w:p>
          <w:p w14:paraId="171E6ACA" w14:textId="77777777" w:rsidR="00D219EF" w:rsidRPr="00183434" w:rsidRDefault="00D219EF" w:rsidP="00183434">
            <w:pPr>
              <w:pStyle w:val="ListParagraph"/>
              <w:spacing w:after="160" w:line="259" w:lineRule="auto"/>
              <w:ind w:left="34"/>
              <w:jc w:val="both"/>
              <w:rPr>
                <w:rFonts w:ascii="Arial" w:hAnsi="Arial" w:cs="Arial"/>
                <w:color w:val="FF0000"/>
                <w:sz w:val="23"/>
                <w:szCs w:val="23"/>
              </w:rPr>
            </w:pPr>
          </w:p>
          <w:p w14:paraId="04F37A43" w14:textId="77777777" w:rsidR="00D219EF" w:rsidRPr="00183434" w:rsidRDefault="00D219EF" w:rsidP="00183434">
            <w:pPr>
              <w:pStyle w:val="ListParagraph"/>
              <w:spacing w:after="160" w:line="259" w:lineRule="auto"/>
              <w:ind w:left="34"/>
              <w:jc w:val="both"/>
              <w:rPr>
                <w:rFonts w:ascii="Arial" w:hAnsi="Arial" w:cs="Arial"/>
                <w:color w:val="FF0000"/>
                <w:sz w:val="23"/>
                <w:szCs w:val="23"/>
              </w:rPr>
            </w:pPr>
            <w:r w:rsidRPr="00183434">
              <w:rPr>
                <w:rFonts w:ascii="Arial" w:hAnsi="Arial" w:cs="Arial"/>
                <w:sz w:val="23"/>
                <w:szCs w:val="23"/>
              </w:rPr>
              <w:t xml:space="preserve">Action was taken to begin restoring the working balance to an acceptable level over the MTFP period. Close monitoring of the financial position ensured identification of emerging financial pressures, allowing for mitigation strategies to be implemented such as:  </w:t>
            </w:r>
          </w:p>
          <w:p w14:paraId="0BA61CA2"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Continuing to reduce the number of void properties</w:t>
            </w:r>
          </w:p>
          <w:p w14:paraId="7EA5207B"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Reducing the volume of disrepair claims</w:t>
            </w:r>
          </w:p>
          <w:p w14:paraId="1FDC0047"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 xml:space="preserve">Completing a review of trades employees’ terms and conditions </w:t>
            </w:r>
          </w:p>
          <w:p w14:paraId="5603655B"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Progressing a review of the Housing Property Services management and office structure</w:t>
            </w:r>
          </w:p>
          <w:p w14:paraId="5B542B6C"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Begin implementing dynamic resource scheduling technology to improve the responsiveness and cost efficiency of the responsive repairs service</w:t>
            </w:r>
          </w:p>
          <w:p w14:paraId="4712C67F"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 xml:space="preserve">Undertaking a line-by-line review of all housing revenue expenditure and identify / implement efficiency savings </w:t>
            </w:r>
          </w:p>
          <w:p w14:paraId="3655BE12" w14:textId="77777777" w:rsidR="00D219EF" w:rsidRPr="00183434" w:rsidRDefault="00D219EF" w:rsidP="00183434">
            <w:pPr>
              <w:pStyle w:val="ListParagraph"/>
              <w:numPr>
                <w:ilvl w:val="0"/>
                <w:numId w:val="59"/>
              </w:numPr>
              <w:spacing w:after="160" w:line="259" w:lineRule="auto"/>
              <w:contextualSpacing/>
              <w:jc w:val="both"/>
              <w:rPr>
                <w:rFonts w:ascii="Arial" w:hAnsi="Arial" w:cs="Arial"/>
                <w:sz w:val="23"/>
                <w:szCs w:val="23"/>
              </w:rPr>
            </w:pPr>
            <w:r w:rsidRPr="00183434">
              <w:rPr>
                <w:rFonts w:ascii="Arial" w:hAnsi="Arial" w:cs="Arial"/>
                <w:sz w:val="23"/>
                <w:szCs w:val="23"/>
              </w:rPr>
              <w:t xml:space="preserve">Reviewing the nature and extent of the housing capital programme, and carrying out a value for money assessment of the procurement approach </w:t>
            </w:r>
          </w:p>
          <w:p w14:paraId="12697A67" w14:textId="77777777" w:rsidR="00D219EF" w:rsidRPr="00183434" w:rsidRDefault="00D219EF" w:rsidP="00183434">
            <w:pPr>
              <w:pStyle w:val="ListParagraph"/>
              <w:spacing w:after="160" w:line="259" w:lineRule="auto"/>
              <w:ind w:left="34"/>
              <w:jc w:val="both"/>
              <w:rPr>
                <w:rFonts w:ascii="Arial" w:hAnsi="Arial" w:cs="Arial"/>
                <w:sz w:val="23"/>
                <w:szCs w:val="23"/>
              </w:rPr>
            </w:pPr>
          </w:p>
        </w:tc>
      </w:tr>
      <w:tr w:rsidR="00D219EF" w:rsidRPr="00183434" w14:paraId="51F7CB2E" w14:textId="77777777" w:rsidTr="003C6937">
        <w:tc>
          <w:tcPr>
            <w:tcW w:w="675" w:type="dxa"/>
          </w:tcPr>
          <w:p w14:paraId="7F24BB05" w14:textId="77777777" w:rsidR="00D219EF" w:rsidRPr="00183434" w:rsidRDefault="00D219EF" w:rsidP="00183434">
            <w:pPr>
              <w:jc w:val="both"/>
              <w:rPr>
                <w:rFonts w:cs="Arial"/>
                <w:sz w:val="23"/>
                <w:szCs w:val="23"/>
              </w:rPr>
            </w:pPr>
            <w:r w:rsidRPr="00183434">
              <w:rPr>
                <w:rFonts w:cs="Arial"/>
                <w:sz w:val="23"/>
                <w:szCs w:val="23"/>
              </w:rPr>
              <w:t>3.</w:t>
            </w:r>
          </w:p>
        </w:tc>
        <w:tc>
          <w:tcPr>
            <w:tcW w:w="4395" w:type="dxa"/>
          </w:tcPr>
          <w:p w14:paraId="3F279EAF" w14:textId="77777777" w:rsidR="00D219EF" w:rsidRPr="00183434" w:rsidRDefault="00D219EF" w:rsidP="00183434">
            <w:pPr>
              <w:jc w:val="both"/>
              <w:rPr>
                <w:rFonts w:cs="Arial"/>
                <w:b/>
                <w:bCs/>
                <w:sz w:val="23"/>
                <w:szCs w:val="23"/>
              </w:rPr>
            </w:pPr>
            <w:r w:rsidRPr="00183434">
              <w:rPr>
                <w:rFonts w:cs="Arial"/>
                <w:b/>
                <w:bCs/>
                <w:sz w:val="23"/>
                <w:szCs w:val="23"/>
              </w:rPr>
              <w:t>Asset Management</w:t>
            </w:r>
          </w:p>
          <w:p w14:paraId="6DFF80C1" w14:textId="77777777" w:rsidR="00D219EF" w:rsidRPr="00183434" w:rsidRDefault="00D219EF" w:rsidP="00183434">
            <w:pPr>
              <w:jc w:val="both"/>
              <w:rPr>
                <w:rFonts w:cs="Arial"/>
                <w:b/>
                <w:bCs/>
                <w:sz w:val="23"/>
                <w:szCs w:val="23"/>
              </w:rPr>
            </w:pPr>
          </w:p>
          <w:p w14:paraId="7DFB5C81" w14:textId="77777777" w:rsidR="00D219EF" w:rsidRPr="00183434" w:rsidRDefault="00D219EF" w:rsidP="00183434">
            <w:pPr>
              <w:jc w:val="both"/>
              <w:rPr>
                <w:rFonts w:cs="Arial"/>
                <w:sz w:val="23"/>
                <w:szCs w:val="23"/>
              </w:rPr>
            </w:pPr>
            <w:r w:rsidRPr="00183434">
              <w:rPr>
                <w:rFonts w:cs="Arial"/>
                <w:sz w:val="23"/>
                <w:szCs w:val="23"/>
              </w:rPr>
              <w:t>The Council needs to continue to improve the way in which it manages its assets. The Mentor system that is used to collect rents on the Council’s property portfolio is long overdue for replacement.</w:t>
            </w:r>
          </w:p>
          <w:p w14:paraId="2F18AC63" w14:textId="77777777" w:rsidR="00D219EF" w:rsidRPr="00183434" w:rsidRDefault="00D219EF" w:rsidP="00183434">
            <w:pPr>
              <w:jc w:val="both"/>
              <w:rPr>
                <w:rFonts w:cs="Arial"/>
                <w:sz w:val="23"/>
                <w:szCs w:val="23"/>
              </w:rPr>
            </w:pPr>
          </w:p>
          <w:p w14:paraId="609A1E9D" w14:textId="77777777" w:rsidR="00D219EF" w:rsidRPr="00183434" w:rsidRDefault="00D219EF" w:rsidP="00183434">
            <w:pPr>
              <w:ind w:left="395"/>
              <w:jc w:val="both"/>
              <w:rPr>
                <w:rFonts w:cs="Arial"/>
                <w:sz w:val="23"/>
                <w:szCs w:val="23"/>
              </w:rPr>
            </w:pPr>
          </w:p>
        </w:tc>
        <w:tc>
          <w:tcPr>
            <w:tcW w:w="5103" w:type="dxa"/>
          </w:tcPr>
          <w:p w14:paraId="13956646" w14:textId="77777777" w:rsidR="00D219EF" w:rsidRPr="00183434" w:rsidRDefault="00D219EF" w:rsidP="00183434">
            <w:pPr>
              <w:jc w:val="both"/>
              <w:rPr>
                <w:rFonts w:cs="Arial"/>
                <w:color w:val="156082" w:themeColor="accent1"/>
                <w:sz w:val="23"/>
                <w:szCs w:val="23"/>
              </w:rPr>
            </w:pPr>
          </w:p>
          <w:p w14:paraId="65813ADB" w14:textId="77777777" w:rsidR="00D219EF" w:rsidRPr="00183434" w:rsidRDefault="00D219EF" w:rsidP="00183434">
            <w:pPr>
              <w:jc w:val="both"/>
              <w:rPr>
                <w:rFonts w:cs="Arial"/>
                <w:sz w:val="23"/>
                <w:szCs w:val="23"/>
              </w:rPr>
            </w:pPr>
            <w:r w:rsidRPr="00183434">
              <w:rPr>
                <w:rFonts w:cs="Arial"/>
                <w:sz w:val="23"/>
                <w:szCs w:val="23"/>
              </w:rPr>
              <w:t>Mentor was decommissioned in February 2026 and replaced by MRI CUBE. This is a fully supported Public Sector Network compliant system.</w:t>
            </w:r>
          </w:p>
          <w:p w14:paraId="29BBE2F0" w14:textId="77777777" w:rsidR="00D219EF" w:rsidRPr="00183434" w:rsidRDefault="00D219EF" w:rsidP="00183434">
            <w:pPr>
              <w:jc w:val="both"/>
              <w:rPr>
                <w:rFonts w:cs="Arial"/>
                <w:sz w:val="23"/>
                <w:szCs w:val="23"/>
              </w:rPr>
            </w:pPr>
          </w:p>
          <w:p w14:paraId="27FDE2F0" w14:textId="77777777" w:rsidR="00D219EF" w:rsidRPr="00183434" w:rsidRDefault="00D219EF" w:rsidP="00183434">
            <w:pPr>
              <w:jc w:val="both"/>
              <w:rPr>
                <w:rFonts w:cs="Arial"/>
                <w:sz w:val="23"/>
                <w:szCs w:val="23"/>
              </w:rPr>
            </w:pPr>
          </w:p>
        </w:tc>
      </w:tr>
      <w:tr w:rsidR="00D219EF" w:rsidRPr="00183434" w14:paraId="7A7A1A3B" w14:textId="77777777" w:rsidTr="003C6937">
        <w:tc>
          <w:tcPr>
            <w:tcW w:w="675" w:type="dxa"/>
          </w:tcPr>
          <w:p w14:paraId="2A3A942E" w14:textId="77777777" w:rsidR="00D219EF" w:rsidRPr="00183434" w:rsidRDefault="00D219EF" w:rsidP="00183434">
            <w:pPr>
              <w:jc w:val="both"/>
              <w:rPr>
                <w:rFonts w:cs="Arial"/>
                <w:sz w:val="23"/>
                <w:szCs w:val="23"/>
              </w:rPr>
            </w:pPr>
            <w:r w:rsidRPr="00183434">
              <w:rPr>
                <w:rFonts w:cs="Arial"/>
                <w:sz w:val="23"/>
                <w:szCs w:val="23"/>
              </w:rPr>
              <w:t>4.</w:t>
            </w:r>
          </w:p>
        </w:tc>
        <w:tc>
          <w:tcPr>
            <w:tcW w:w="4395" w:type="dxa"/>
          </w:tcPr>
          <w:p w14:paraId="245374D7" w14:textId="77777777" w:rsidR="00D219EF" w:rsidRPr="00183434" w:rsidRDefault="00D219EF" w:rsidP="00183434">
            <w:pPr>
              <w:jc w:val="both"/>
              <w:rPr>
                <w:rFonts w:cs="Arial"/>
                <w:sz w:val="23"/>
                <w:szCs w:val="23"/>
              </w:rPr>
            </w:pPr>
            <w:r w:rsidRPr="00183434">
              <w:rPr>
                <w:rFonts w:cs="Arial"/>
                <w:b/>
                <w:bCs/>
                <w:sz w:val="23"/>
                <w:szCs w:val="23"/>
              </w:rPr>
              <w:t>Workforce Capacity and Capability</w:t>
            </w:r>
            <w:r w:rsidRPr="00183434">
              <w:rPr>
                <w:rFonts w:cs="Arial"/>
                <w:sz w:val="23"/>
                <w:szCs w:val="23"/>
              </w:rPr>
              <w:t xml:space="preserve">  </w:t>
            </w:r>
          </w:p>
          <w:p w14:paraId="30B62490" w14:textId="77777777" w:rsidR="00D219EF" w:rsidRPr="00183434" w:rsidRDefault="00D219EF" w:rsidP="00183434">
            <w:pPr>
              <w:jc w:val="both"/>
              <w:rPr>
                <w:rFonts w:cs="Arial"/>
                <w:sz w:val="23"/>
                <w:szCs w:val="23"/>
              </w:rPr>
            </w:pPr>
          </w:p>
          <w:p w14:paraId="56A57497" w14:textId="77777777" w:rsidR="00D219EF" w:rsidRPr="00183434" w:rsidRDefault="00D219EF" w:rsidP="00183434">
            <w:pPr>
              <w:jc w:val="both"/>
              <w:rPr>
                <w:rFonts w:cs="Arial"/>
                <w:sz w:val="23"/>
                <w:szCs w:val="23"/>
              </w:rPr>
            </w:pPr>
            <w:r w:rsidRPr="00183434">
              <w:rPr>
                <w:rFonts w:cs="Arial"/>
                <w:sz w:val="23"/>
                <w:szCs w:val="23"/>
              </w:rPr>
              <w:t>The Council needs to continue to manage workforce capacity and capability to be able to deliver the Council Plan and meet the budget challenges identified. Staff will need to be supported in the face of Local Government Reorganisation (LGR) and understanding what that means for them.</w:t>
            </w:r>
          </w:p>
          <w:p w14:paraId="24769B40" w14:textId="77777777" w:rsidR="00D219EF" w:rsidRPr="00183434" w:rsidRDefault="00D219EF" w:rsidP="00183434">
            <w:pPr>
              <w:jc w:val="both"/>
              <w:rPr>
                <w:rFonts w:cs="Arial"/>
                <w:sz w:val="23"/>
                <w:szCs w:val="23"/>
              </w:rPr>
            </w:pPr>
            <w:r w:rsidRPr="00183434">
              <w:rPr>
                <w:rFonts w:cs="Arial"/>
                <w:sz w:val="23"/>
                <w:szCs w:val="23"/>
              </w:rPr>
              <w:t>.</w:t>
            </w:r>
          </w:p>
          <w:p w14:paraId="752EAA48" w14:textId="77777777" w:rsidR="00D219EF" w:rsidRPr="00183434" w:rsidRDefault="00D219EF" w:rsidP="00183434">
            <w:pPr>
              <w:jc w:val="both"/>
              <w:rPr>
                <w:rFonts w:cs="Arial"/>
                <w:sz w:val="23"/>
                <w:szCs w:val="23"/>
              </w:rPr>
            </w:pPr>
            <w:r w:rsidRPr="00183434">
              <w:rPr>
                <w:rFonts w:cs="Arial"/>
                <w:sz w:val="23"/>
                <w:szCs w:val="23"/>
              </w:rPr>
              <w:lastRenderedPageBreak/>
              <w:t xml:space="preserve">2024/25 has continued to see recruitment difficulties in many parts of the organisation. This includes recruitment of suitably experienced and qualified officers into Human Resources. Finance, Internal Audit, Legal and Property and Technical services. </w:t>
            </w:r>
          </w:p>
          <w:p w14:paraId="1A4789AA" w14:textId="77777777" w:rsidR="00D219EF" w:rsidRPr="00183434" w:rsidRDefault="00D219EF" w:rsidP="00183434">
            <w:pPr>
              <w:jc w:val="both"/>
              <w:rPr>
                <w:rFonts w:cs="Arial"/>
                <w:sz w:val="23"/>
                <w:szCs w:val="23"/>
              </w:rPr>
            </w:pPr>
          </w:p>
          <w:p w14:paraId="4578FBD3" w14:textId="77777777" w:rsidR="00D219EF" w:rsidRPr="00183434" w:rsidRDefault="00D219EF" w:rsidP="00183434">
            <w:pPr>
              <w:jc w:val="both"/>
              <w:rPr>
                <w:rFonts w:cs="Arial"/>
                <w:sz w:val="23"/>
                <w:szCs w:val="23"/>
              </w:rPr>
            </w:pPr>
            <w:r w:rsidRPr="00183434">
              <w:rPr>
                <w:rFonts w:cs="Arial"/>
                <w:sz w:val="23"/>
                <w:szCs w:val="23"/>
              </w:rPr>
              <w:t>Many of the Council’s HR policies are out of date and are in the process of being reviewed and updated.</w:t>
            </w:r>
          </w:p>
          <w:p w14:paraId="4D61A8EA" w14:textId="77777777" w:rsidR="00D219EF" w:rsidRPr="00183434" w:rsidRDefault="00D219EF" w:rsidP="00183434">
            <w:pPr>
              <w:jc w:val="both"/>
              <w:rPr>
                <w:rFonts w:cs="Arial"/>
                <w:sz w:val="23"/>
                <w:szCs w:val="23"/>
              </w:rPr>
            </w:pPr>
          </w:p>
          <w:p w14:paraId="3699FBFD" w14:textId="77777777" w:rsidR="00D219EF" w:rsidRPr="00183434" w:rsidRDefault="00D219EF" w:rsidP="00183434">
            <w:pPr>
              <w:jc w:val="both"/>
              <w:rPr>
                <w:rFonts w:cs="Arial"/>
                <w:sz w:val="23"/>
                <w:szCs w:val="23"/>
              </w:rPr>
            </w:pPr>
          </w:p>
        </w:tc>
        <w:tc>
          <w:tcPr>
            <w:tcW w:w="5103" w:type="dxa"/>
            <w:vAlign w:val="center"/>
          </w:tcPr>
          <w:p w14:paraId="4C64F0BA" w14:textId="77777777" w:rsidR="00D219EF" w:rsidRPr="00183434" w:rsidRDefault="00D219EF" w:rsidP="00183434">
            <w:pPr>
              <w:jc w:val="both"/>
              <w:rPr>
                <w:rFonts w:cs="Arial"/>
                <w:sz w:val="23"/>
                <w:szCs w:val="23"/>
              </w:rPr>
            </w:pPr>
          </w:p>
          <w:p w14:paraId="5773E4EA" w14:textId="77777777" w:rsidR="00D219EF" w:rsidRPr="00183434" w:rsidRDefault="00D219EF" w:rsidP="00183434">
            <w:pPr>
              <w:jc w:val="both"/>
              <w:rPr>
                <w:rFonts w:cs="Arial"/>
                <w:sz w:val="23"/>
                <w:szCs w:val="23"/>
              </w:rPr>
            </w:pPr>
          </w:p>
          <w:p w14:paraId="1421BA94" w14:textId="77777777" w:rsidR="00D219EF" w:rsidRPr="00183434" w:rsidRDefault="00D219EF" w:rsidP="00183434">
            <w:pPr>
              <w:jc w:val="both"/>
              <w:rPr>
                <w:rFonts w:cs="Arial"/>
                <w:sz w:val="23"/>
                <w:szCs w:val="23"/>
              </w:rPr>
            </w:pPr>
            <w:r w:rsidRPr="00183434">
              <w:rPr>
                <w:rFonts w:cs="Arial"/>
                <w:sz w:val="23"/>
                <w:szCs w:val="23"/>
              </w:rPr>
              <w:t>The People Plan was adopted in 2025/26 and implementation has commenced, providing a clearer framework for workforce planning, retention and development. Overall turnover remained relatively low at 7.99%, excluding casual employees, supporting service continuity.</w:t>
            </w:r>
          </w:p>
          <w:p w14:paraId="6CFF83DF" w14:textId="77777777" w:rsidR="00D219EF" w:rsidRPr="00183434" w:rsidRDefault="00D219EF" w:rsidP="00183434">
            <w:pPr>
              <w:jc w:val="both"/>
              <w:rPr>
                <w:rFonts w:cs="Arial"/>
                <w:kern w:val="2"/>
                <w:sz w:val="23"/>
                <w:szCs w:val="23"/>
                <w14:ligatures w14:val="standardContextual"/>
              </w:rPr>
            </w:pPr>
            <w:r w:rsidRPr="00183434">
              <w:rPr>
                <w:rFonts w:cs="Arial"/>
                <w:sz w:val="23"/>
                <w:szCs w:val="23"/>
              </w:rPr>
              <w:t>The Corporate Leadership Team has been restructured to help meet the challenges ahead.</w:t>
            </w:r>
          </w:p>
          <w:p w14:paraId="2173067D" w14:textId="77777777" w:rsidR="00D219EF" w:rsidRPr="00183434" w:rsidRDefault="00D219EF" w:rsidP="00183434">
            <w:pPr>
              <w:jc w:val="both"/>
              <w:rPr>
                <w:rFonts w:cs="Arial"/>
                <w:sz w:val="23"/>
                <w:szCs w:val="23"/>
              </w:rPr>
            </w:pPr>
            <w:r w:rsidRPr="00183434">
              <w:rPr>
                <w:rFonts w:cs="Arial"/>
                <w:sz w:val="23"/>
                <w:szCs w:val="23"/>
              </w:rPr>
              <w:lastRenderedPageBreak/>
              <w:t>A range of recruitment approaches were used to address capacity pressures, including internal development, apprenticeships, external and interim recruitment, and targeted consultant support for specialist roles. Work also began in Quarter 4 to refresh HR policies following the Employment Rights Act 2025, supported by ongoing Trade Union engagement.</w:t>
            </w:r>
          </w:p>
          <w:p w14:paraId="54CCA248" w14:textId="77777777" w:rsidR="00D219EF" w:rsidRPr="00183434" w:rsidRDefault="00D219EF" w:rsidP="00183434">
            <w:pPr>
              <w:jc w:val="both"/>
              <w:rPr>
                <w:rFonts w:cs="Arial"/>
                <w:sz w:val="23"/>
                <w:szCs w:val="23"/>
              </w:rPr>
            </w:pPr>
            <w:r w:rsidRPr="00183434">
              <w:rPr>
                <w:rFonts w:cs="Arial"/>
                <w:sz w:val="23"/>
                <w:szCs w:val="23"/>
              </w:rPr>
              <w:t>Support for Local Government Reorganisation progressed during the year, including beginning development of a leadership programme to strengthen management capacity for change. A pilot AI training programme was also introduced for a small number of staff, with wider rollout planned for 2026.</w:t>
            </w:r>
          </w:p>
          <w:p w14:paraId="497A78D3" w14:textId="77777777" w:rsidR="00D219EF" w:rsidRPr="00183434" w:rsidRDefault="00D219EF" w:rsidP="00183434">
            <w:pPr>
              <w:jc w:val="both"/>
              <w:rPr>
                <w:rFonts w:cs="Arial"/>
                <w:snapToGrid w:val="0"/>
                <w:color w:val="FF0000"/>
                <w:sz w:val="23"/>
                <w:szCs w:val="23"/>
                <w:lang w:eastAsia="en-US"/>
              </w:rPr>
            </w:pPr>
          </w:p>
        </w:tc>
      </w:tr>
      <w:tr w:rsidR="00D219EF" w:rsidRPr="00183434" w14:paraId="5A5E842F" w14:textId="77777777" w:rsidTr="003C6937">
        <w:tc>
          <w:tcPr>
            <w:tcW w:w="675" w:type="dxa"/>
          </w:tcPr>
          <w:p w14:paraId="394D32A2" w14:textId="77777777" w:rsidR="00D219EF" w:rsidRPr="00183434" w:rsidRDefault="00D219EF" w:rsidP="00183434">
            <w:pPr>
              <w:jc w:val="both"/>
              <w:rPr>
                <w:rFonts w:cs="Arial"/>
                <w:sz w:val="23"/>
                <w:szCs w:val="23"/>
              </w:rPr>
            </w:pPr>
            <w:r w:rsidRPr="00183434">
              <w:rPr>
                <w:rFonts w:cs="Arial"/>
                <w:sz w:val="23"/>
                <w:szCs w:val="23"/>
              </w:rPr>
              <w:t>5.</w:t>
            </w:r>
          </w:p>
        </w:tc>
        <w:tc>
          <w:tcPr>
            <w:tcW w:w="4395" w:type="dxa"/>
          </w:tcPr>
          <w:p w14:paraId="619C4B97" w14:textId="77777777" w:rsidR="00D219EF" w:rsidRPr="00183434" w:rsidRDefault="00D219EF" w:rsidP="00183434">
            <w:pPr>
              <w:jc w:val="both"/>
              <w:rPr>
                <w:rFonts w:cs="Arial"/>
                <w:b/>
                <w:bCs/>
                <w:sz w:val="23"/>
                <w:szCs w:val="23"/>
              </w:rPr>
            </w:pPr>
            <w:r w:rsidRPr="00183434">
              <w:rPr>
                <w:rFonts w:cs="Arial"/>
                <w:b/>
                <w:bCs/>
                <w:sz w:val="23"/>
                <w:szCs w:val="23"/>
              </w:rPr>
              <w:t>Procurement</w:t>
            </w:r>
          </w:p>
          <w:p w14:paraId="440CB86C" w14:textId="77777777" w:rsidR="00D219EF" w:rsidRPr="00183434" w:rsidRDefault="00D219EF" w:rsidP="00183434">
            <w:pPr>
              <w:jc w:val="both"/>
              <w:rPr>
                <w:rFonts w:cs="Arial"/>
                <w:b/>
                <w:bCs/>
                <w:sz w:val="23"/>
                <w:szCs w:val="23"/>
              </w:rPr>
            </w:pPr>
          </w:p>
          <w:p w14:paraId="370BD589" w14:textId="77777777" w:rsidR="00D219EF" w:rsidRPr="00183434" w:rsidRDefault="00D219EF" w:rsidP="00183434">
            <w:pPr>
              <w:jc w:val="both"/>
              <w:rPr>
                <w:rFonts w:cs="Arial"/>
                <w:sz w:val="23"/>
                <w:szCs w:val="23"/>
              </w:rPr>
            </w:pPr>
            <w:r w:rsidRPr="00183434">
              <w:rPr>
                <w:rFonts w:cs="Arial"/>
                <w:sz w:val="23"/>
                <w:szCs w:val="23"/>
                <w:lang w:eastAsia="en-US"/>
              </w:rPr>
              <w:t xml:space="preserve">The Procurement Act 2023 </w:t>
            </w:r>
            <w:bookmarkStart w:id="1" w:name="_Hlk152160496"/>
            <w:r w:rsidRPr="00183434">
              <w:rPr>
                <w:rFonts w:cs="Arial"/>
                <w:sz w:val="23"/>
                <w:szCs w:val="23"/>
                <w:lang w:eastAsia="en-US"/>
              </w:rPr>
              <w:t>went live in February 2025.</w:t>
            </w:r>
            <w:bookmarkEnd w:id="1"/>
            <w:r w:rsidRPr="00183434">
              <w:rPr>
                <w:rFonts w:cs="Arial"/>
                <w:sz w:val="23"/>
                <w:szCs w:val="23"/>
                <w:lang w:eastAsia="en-US"/>
              </w:rPr>
              <w:t xml:space="preserve"> The new legislation significantly impacts public procurement meaning all contracting authorities should have made substantial changes to the way goods, services and works are procured and contracts managed to ensure compliance with the new Act.</w:t>
            </w:r>
          </w:p>
          <w:p w14:paraId="5C0BBB7D" w14:textId="77777777" w:rsidR="00D219EF" w:rsidRPr="00183434" w:rsidRDefault="00D219EF" w:rsidP="00183434">
            <w:pPr>
              <w:jc w:val="both"/>
              <w:rPr>
                <w:rFonts w:cs="Arial"/>
                <w:sz w:val="23"/>
                <w:szCs w:val="23"/>
              </w:rPr>
            </w:pPr>
          </w:p>
          <w:p w14:paraId="492498A1" w14:textId="77777777" w:rsidR="00D219EF" w:rsidRPr="00183434" w:rsidRDefault="00D219EF" w:rsidP="00183434">
            <w:pPr>
              <w:jc w:val="both"/>
              <w:rPr>
                <w:rFonts w:cs="Arial"/>
                <w:sz w:val="23"/>
                <w:szCs w:val="23"/>
                <w:lang w:eastAsia="en-US"/>
              </w:rPr>
            </w:pPr>
            <w:r w:rsidRPr="00183434">
              <w:rPr>
                <w:rFonts w:cs="Arial"/>
                <w:sz w:val="23"/>
                <w:szCs w:val="23"/>
                <w:lang w:eastAsia="en-US"/>
              </w:rPr>
              <w:t>Work is still required to ensure that all Council spend is compliant with the Procurement Act and that new processes and documentation are fully embedded throughout the Council.</w:t>
            </w:r>
          </w:p>
          <w:p w14:paraId="1C0039BF" w14:textId="77777777" w:rsidR="00D219EF" w:rsidRPr="00183434" w:rsidRDefault="00D219EF" w:rsidP="00183434">
            <w:pPr>
              <w:jc w:val="both"/>
              <w:rPr>
                <w:rFonts w:cs="Arial"/>
                <w:sz w:val="23"/>
                <w:szCs w:val="23"/>
              </w:rPr>
            </w:pPr>
          </w:p>
          <w:p w14:paraId="4FB42562" w14:textId="77777777" w:rsidR="00D219EF" w:rsidRPr="00183434" w:rsidRDefault="00D219EF" w:rsidP="00183434">
            <w:pPr>
              <w:jc w:val="both"/>
              <w:rPr>
                <w:rFonts w:cs="Arial"/>
                <w:sz w:val="23"/>
                <w:szCs w:val="23"/>
              </w:rPr>
            </w:pPr>
          </w:p>
          <w:p w14:paraId="4D0B0801" w14:textId="77777777" w:rsidR="00D219EF" w:rsidRPr="00183434" w:rsidRDefault="00D219EF" w:rsidP="00183434">
            <w:pPr>
              <w:jc w:val="both"/>
              <w:rPr>
                <w:rFonts w:cs="Arial"/>
                <w:sz w:val="23"/>
                <w:szCs w:val="23"/>
              </w:rPr>
            </w:pPr>
          </w:p>
        </w:tc>
        <w:tc>
          <w:tcPr>
            <w:tcW w:w="5103" w:type="dxa"/>
          </w:tcPr>
          <w:p w14:paraId="3B3EDB51" w14:textId="77777777" w:rsidR="00D219EF" w:rsidRPr="00183434" w:rsidRDefault="00D219EF" w:rsidP="00183434">
            <w:pPr>
              <w:ind w:left="61"/>
              <w:jc w:val="both"/>
              <w:rPr>
                <w:rFonts w:cs="Arial"/>
                <w:sz w:val="23"/>
                <w:szCs w:val="23"/>
              </w:rPr>
            </w:pPr>
          </w:p>
          <w:p w14:paraId="75707ACE" w14:textId="77777777" w:rsidR="00D219EF" w:rsidRPr="00183434" w:rsidRDefault="00D219EF" w:rsidP="00183434">
            <w:pPr>
              <w:ind w:left="61"/>
              <w:jc w:val="both"/>
              <w:rPr>
                <w:rFonts w:cs="Arial"/>
                <w:sz w:val="23"/>
                <w:szCs w:val="23"/>
              </w:rPr>
            </w:pPr>
          </w:p>
          <w:p w14:paraId="77241C81" w14:textId="77777777" w:rsidR="00D219EF" w:rsidRPr="00183434" w:rsidRDefault="00D219EF" w:rsidP="00183434">
            <w:pPr>
              <w:ind w:left="61"/>
              <w:jc w:val="both"/>
              <w:rPr>
                <w:rFonts w:cs="Arial"/>
                <w:sz w:val="23"/>
                <w:szCs w:val="23"/>
              </w:rPr>
            </w:pPr>
            <w:r w:rsidRPr="00183434">
              <w:rPr>
                <w:rFonts w:cs="Arial"/>
                <w:sz w:val="23"/>
                <w:szCs w:val="23"/>
              </w:rPr>
              <w:t xml:space="preserve">Work has </w:t>
            </w:r>
            <w:proofErr w:type="gramStart"/>
            <w:r w:rsidRPr="00183434">
              <w:rPr>
                <w:rFonts w:cs="Arial"/>
                <w:sz w:val="23"/>
                <w:szCs w:val="23"/>
              </w:rPr>
              <w:t>continued on</w:t>
            </w:r>
            <w:proofErr w:type="gramEnd"/>
            <w:r w:rsidRPr="00183434">
              <w:rPr>
                <w:rFonts w:cs="Arial"/>
                <w:sz w:val="23"/>
                <w:szCs w:val="23"/>
              </w:rPr>
              <w:t xml:space="preserve"> implementing the procurement improvement plan with the Head of Procurement regularly attending Corporate Leadership Team to provide updates on procurement.</w:t>
            </w:r>
          </w:p>
          <w:p w14:paraId="3F6681D1" w14:textId="77777777" w:rsidR="00D219EF" w:rsidRPr="00183434" w:rsidRDefault="00D219EF" w:rsidP="00183434">
            <w:pPr>
              <w:ind w:left="61"/>
              <w:jc w:val="both"/>
              <w:rPr>
                <w:rFonts w:cs="Arial"/>
                <w:color w:val="FF0000"/>
                <w:sz w:val="23"/>
                <w:szCs w:val="23"/>
              </w:rPr>
            </w:pPr>
          </w:p>
          <w:p w14:paraId="5A8EF9A1" w14:textId="77777777" w:rsidR="00D219EF" w:rsidRPr="00183434" w:rsidRDefault="00D219EF" w:rsidP="00183434">
            <w:pPr>
              <w:ind w:left="61"/>
              <w:jc w:val="both"/>
              <w:rPr>
                <w:rFonts w:cs="Arial"/>
                <w:sz w:val="23"/>
                <w:szCs w:val="23"/>
              </w:rPr>
            </w:pPr>
            <w:r w:rsidRPr="00183434">
              <w:rPr>
                <w:rFonts w:cs="Arial"/>
                <w:sz w:val="23"/>
                <w:szCs w:val="23"/>
              </w:rPr>
              <w:t>Training has been delivered to Service areas on the use of Source to Contract, to ensure contract performance can be monitored to meet the needs of the Procurement Act.</w:t>
            </w:r>
          </w:p>
          <w:p w14:paraId="3A0B7300" w14:textId="77777777" w:rsidR="00D219EF" w:rsidRPr="00183434" w:rsidRDefault="00D219EF" w:rsidP="00183434">
            <w:pPr>
              <w:ind w:left="61"/>
              <w:jc w:val="both"/>
              <w:rPr>
                <w:rFonts w:cs="Arial"/>
                <w:color w:val="0070C0"/>
                <w:sz w:val="23"/>
                <w:szCs w:val="23"/>
              </w:rPr>
            </w:pPr>
          </w:p>
          <w:p w14:paraId="644794D9" w14:textId="77777777" w:rsidR="00D219EF" w:rsidRPr="00183434" w:rsidRDefault="00D219EF" w:rsidP="00183434">
            <w:pPr>
              <w:ind w:left="61"/>
              <w:jc w:val="both"/>
              <w:rPr>
                <w:rFonts w:cs="Arial"/>
                <w:color w:val="0070C0"/>
                <w:sz w:val="23"/>
                <w:szCs w:val="23"/>
              </w:rPr>
            </w:pPr>
            <w:r w:rsidRPr="00183434">
              <w:rPr>
                <w:rFonts w:cs="Arial"/>
                <w:sz w:val="23"/>
                <w:szCs w:val="23"/>
              </w:rPr>
              <w:t>More in depth Procurement training has been developed for relevant Officers and Procurement will continue to work with HR to develop bite size training modules on a range of procurement related topics</w:t>
            </w:r>
            <w:r w:rsidRPr="00183434">
              <w:rPr>
                <w:rFonts w:cs="Arial"/>
                <w:color w:val="0070C0"/>
                <w:sz w:val="23"/>
                <w:szCs w:val="23"/>
              </w:rPr>
              <w:t>.</w:t>
            </w:r>
          </w:p>
          <w:p w14:paraId="29263E79" w14:textId="77777777" w:rsidR="00D219EF" w:rsidRPr="00183434" w:rsidRDefault="00D219EF" w:rsidP="00183434">
            <w:pPr>
              <w:ind w:left="61"/>
              <w:jc w:val="both"/>
              <w:rPr>
                <w:rFonts w:cs="Arial"/>
                <w:color w:val="0070C0"/>
                <w:sz w:val="23"/>
                <w:szCs w:val="23"/>
              </w:rPr>
            </w:pPr>
          </w:p>
          <w:p w14:paraId="3B37622D" w14:textId="77777777" w:rsidR="00D219EF" w:rsidRPr="00183434" w:rsidRDefault="00D219EF" w:rsidP="00183434">
            <w:pPr>
              <w:ind w:left="61"/>
              <w:jc w:val="both"/>
              <w:rPr>
                <w:rFonts w:cs="Arial"/>
                <w:sz w:val="23"/>
                <w:szCs w:val="23"/>
              </w:rPr>
            </w:pPr>
            <w:r w:rsidRPr="00183434">
              <w:rPr>
                <w:rFonts w:cs="Arial"/>
                <w:sz w:val="23"/>
                <w:szCs w:val="23"/>
              </w:rPr>
              <w:t>The review of team structures for Procurement and Accounts Payable Services will be finalised in 2026/27 to ensure there is adequate resource and the right skills and capacity in place to manage compliance and drive further improvements.</w:t>
            </w:r>
          </w:p>
          <w:p w14:paraId="56BE375B" w14:textId="77777777" w:rsidR="00D219EF" w:rsidRPr="00183434" w:rsidRDefault="00D219EF" w:rsidP="00183434">
            <w:pPr>
              <w:ind w:left="61"/>
              <w:jc w:val="both"/>
              <w:rPr>
                <w:rFonts w:cs="Arial"/>
                <w:sz w:val="23"/>
                <w:szCs w:val="23"/>
              </w:rPr>
            </w:pPr>
          </w:p>
        </w:tc>
      </w:tr>
    </w:tbl>
    <w:p w14:paraId="7701EF04" w14:textId="77777777" w:rsidR="00D219EF" w:rsidRPr="00183434" w:rsidRDefault="00D219EF" w:rsidP="00183434">
      <w:pPr>
        <w:keepNext/>
        <w:jc w:val="both"/>
        <w:outlineLvl w:val="1"/>
        <w:rPr>
          <w:rFonts w:cs="Arial"/>
          <w:b/>
          <w:color w:val="FF0000"/>
          <w:sz w:val="23"/>
          <w:szCs w:val="23"/>
        </w:rPr>
      </w:pPr>
    </w:p>
    <w:p w14:paraId="203B5488" w14:textId="77777777" w:rsidR="00D219EF" w:rsidRPr="00183434" w:rsidRDefault="00D219EF" w:rsidP="00183434">
      <w:pPr>
        <w:keepNext/>
        <w:jc w:val="both"/>
        <w:outlineLvl w:val="1"/>
        <w:rPr>
          <w:rFonts w:cs="Arial"/>
          <w:b/>
          <w:color w:val="FF0000"/>
          <w:sz w:val="23"/>
          <w:szCs w:val="23"/>
        </w:rPr>
      </w:pPr>
    </w:p>
    <w:p w14:paraId="1F26A46C" w14:textId="77777777" w:rsidR="00D219EF" w:rsidRPr="00183434" w:rsidRDefault="00D219EF" w:rsidP="00183434">
      <w:pPr>
        <w:keepNext/>
        <w:jc w:val="both"/>
        <w:outlineLvl w:val="1"/>
        <w:rPr>
          <w:rFonts w:cs="Arial"/>
          <w:b/>
          <w:sz w:val="23"/>
          <w:szCs w:val="23"/>
        </w:rPr>
      </w:pPr>
      <w:r w:rsidRPr="00183434">
        <w:rPr>
          <w:rFonts w:cs="Arial"/>
          <w:b/>
          <w:sz w:val="23"/>
          <w:szCs w:val="23"/>
        </w:rPr>
        <w:t>Where our Governance needs to improve</w:t>
      </w:r>
    </w:p>
    <w:p w14:paraId="287E93DC" w14:textId="77777777" w:rsidR="00D219EF" w:rsidRPr="00183434" w:rsidRDefault="00D219EF" w:rsidP="00183434">
      <w:pPr>
        <w:keepNext/>
        <w:jc w:val="both"/>
        <w:outlineLvl w:val="1"/>
        <w:rPr>
          <w:rFonts w:cs="Arial"/>
          <w:b/>
          <w:color w:val="FF0000"/>
          <w:sz w:val="23"/>
          <w:szCs w:val="23"/>
        </w:rPr>
      </w:pPr>
    </w:p>
    <w:p w14:paraId="1AFB237C" w14:textId="77777777" w:rsidR="00D219EF" w:rsidRPr="00183434" w:rsidRDefault="00D219EF" w:rsidP="00183434">
      <w:pPr>
        <w:keepNext/>
        <w:jc w:val="both"/>
        <w:rPr>
          <w:rFonts w:cs="Arial"/>
          <w:sz w:val="23"/>
          <w:szCs w:val="23"/>
        </w:rPr>
      </w:pPr>
      <w:r w:rsidRPr="00183434">
        <w:rPr>
          <w:rFonts w:cs="Arial"/>
          <w:sz w:val="23"/>
          <w:szCs w:val="23"/>
        </w:rPr>
        <w:t xml:space="preserve">Whilst there are many areas of the Governance Framework that are operating satisfactorily, the work of internal audit and discussions with the Corporate Leadership Team have identified that there are some areas where action can be taken to improve the governance arrangements in place. </w:t>
      </w:r>
      <w:r w:rsidRPr="00183434">
        <w:rPr>
          <w:rFonts w:cs="Arial"/>
          <w:b/>
          <w:bCs/>
          <w:sz w:val="23"/>
          <w:szCs w:val="23"/>
        </w:rPr>
        <w:t xml:space="preserve"> </w:t>
      </w:r>
      <w:r w:rsidRPr="00183434">
        <w:rPr>
          <w:rFonts w:cs="Arial"/>
          <w:sz w:val="23"/>
          <w:szCs w:val="23"/>
        </w:rPr>
        <w:t xml:space="preserve">Whilst progress has been made on the governance issues identified in 2024/25 work is still ongoing to drive forward further improvement and so some of these areas have been raised again. The financial sustainability issues in terms of the General Fund and the Housing </w:t>
      </w:r>
      <w:r w:rsidRPr="00183434">
        <w:rPr>
          <w:rFonts w:cs="Arial"/>
          <w:sz w:val="23"/>
          <w:szCs w:val="23"/>
        </w:rPr>
        <w:lastRenderedPageBreak/>
        <w:t>Revenue account have been moved into the body of the statement this year as there are structured processes in place to address these issues.</w:t>
      </w:r>
    </w:p>
    <w:p w14:paraId="505B9C08" w14:textId="77777777" w:rsidR="00D219EF" w:rsidRPr="00183434" w:rsidRDefault="00D219EF" w:rsidP="00183434">
      <w:pPr>
        <w:keepNext/>
        <w:jc w:val="both"/>
        <w:rPr>
          <w:rFonts w:cs="Arial"/>
          <w:color w:val="FF0000"/>
          <w:sz w:val="23"/>
          <w:szCs w:val="23"/>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5103"/>
      </w:tblGrid>
      <w:tr w:rsidR="00D219EF" w:rsidRPr="00183434" w14:paraId="42C3D76C" w14:textId="77777777" w:rsidTr="003C6937">
        <w:tc>
          <w:tcPr>
            <w:tcW w:w="675" w:type="dxa"/>
          </w:tcPr>
          <w:p w14:paraId="657DB5D2" w14:textId="77777777" w:rsidR="00D219EF" w:rsidRPr="00183434" w:rsidRDefault="00D219EF" w:rsidP="00183434">
            <w:pPr>
              <w:jc w:val="both"/>
              <w:rPr>
                <w:rFonts w:cs="Arial"/>
                <w:b/>
                <w:sz w:val="23"/>
                <w:szCs w:val="23"/>
              </w:rPr>
            </w:pPr>
            <w:r w:rsidRPr="00183434">
              <w:rPr>
                <w:rFonts w:cs="Arial"/>
                <w:b/>
                <w:sz w:val="23"/>
                <w:szCs w:val="23"/>
              </w:rPr>
              <w:t>No.</w:t>
            </w:r>
          </w:p>
        </w:tc>
        <w:tc>
          <w:tcPr>
            <w:tcW w:w="4395" w:type="dxa"/>
          </w:tcPr>
          <w:p w14:paraId="22B52E1B" w14:textId="77777777" w:rsidR="00D219EF" w:rsidRPr="00183434" w:rsidRDefault="00D219EF" w:rsidP="00183434">
            <w:pPr>
              <w:jc w:val="both"/>
              <w:rPr>
                <w:rFonts w:cs="Arial"/>
                <w:b/>
                <w:sz w:val="23"/>
                <w:szCs w:val="23"/>
              </w:rPr>
            </w:pPr>
            <w:r w:rsidRPr="00183434">
              <w:rPr>
                <w:rFonts w:cs="Arial"/>
                <w:b/>
                <w:sz w:val="23"/>
                <w:szCs w:val="23"/>
              </w:rPr>
              <w:t>Issue Identified 2025/26</w:t>
            </w:r>
          </w:p>
        </w:tc>
        <w:tc>
          <w:tcPr>
            <w:tcW w:w="5103" w:type="dxa"/>
          </w:tcPr>
          <w:p w14:paraId="1BB67C1B" w14:textId="77777777" w:rsidR="00D219EF" w:rsidRPr="00183434" w:rsidRDefault="00D219EF" w:rsidP="00183434">
            <w:pPr>
              <w:jc w:val="both"/>
              <w:rPr>
                <w:rFonts w:cs="Arial"/>
                <w:b/>
                <w:sz w:val="23"/>
                <w:szCs w:val="23"/>
              </w:rPr>
            </w:pPr>
            <w:r w:rsidRPr="00183434">
              <w:rPr>
                <w:rFonts w:cs="Arial"/>
                <w:b/>
                <w:sz w:val="23"/>
                <w:szCs w:val="23"/>
              </w:rPr>
              <w:t>Action to be taken during 2026/27 to address the issue</w:t>
            </w:r>
          </w:p>
        </w:tc>
      </w:tr>
      <w:tr w:rsidR="00D219EF" w:rsidRPr="00183434" w14:paraId="47C9FA19" w14:textId="77777777" w:rsidTr="003C6937">
        <w:tc>
          <w:tcPr>
            <w:tcW w:w="675" w:type="dxa"/>
          </w:tcPr>
          <w:p w14:paraId="6E2C2C3D" w14:textId="77777777" w:rsidR="00D219EF" w:rsidRPr="00183434" w:rsidRDefault="00D219EF" w:rsidP="00183434">
            <w:pPr>
              <w:jc w:val="both"/>
              <w:rPr>
                <w:rFonts w:cs="Arial"/>
                <w:color w:val="FF0000"/>
                <w:sz w:val="23"/>
                <w:szCs w:val="23"/>
              </w:rPr>
            </w:pPr>
            <w:r w:rsidRPr="00183434">
              <w:rPr>
                <w:rFonts w:cs="Arial"/>
                <w:sz w:val="23"/>
                <w:szCs w:val="23"/>
              </w:rPr>
              <w:t>1</w:t>
            </w:r>
          </w:p>
        </w:tc>
        <w:tc>
          <w:tcPr>
            <w:tcW w:w="4395" w:type="dxa"/>
          </w:tcPr>
          <w:p w14:paraId="2FAA107B" w14:textId="77777777" w:rsidR="00D219EF" w:rsidRPr="00183434" w:rsidRDefault="00D219EF" w:rsidP="00183434">
            <w:pPr>
              <w:jc w:val="both"/>
              <w:rPr>
                <w:rFonts w:cs="Arial"/>
                <w:b/>
                <w:bCs/>
                <w:sz w:val="23"/>
                <w:szCs w:val="23"/>
              </w:rPr>
            </w:pPr>
            <w:r w:rsidRPr="00183434">
              <w:rPr>
                <w:rFonts w:cs="Arial"/>
                <w:b/>
                <w:bCs/>
                <w:sz w:val="23"/>
                <w:szCs w:val="23"/>
              </w:rPr>
              <w:t>Asset Management</w:t>
            </w:r>
          </w:p>
          <w:p w14:paraId="2A46FCF3" w14:textId="77777777" w:rsidR="00D219EF" w:rsidRPr="00183434" w:rsidRDefault="00D219EF" w:rsidP="00183434">
            <w:pPr>
              <w:jc w:val="both"/>
              <w:rPr>
                <w:rFonts w:cs="Arial"/>
                <w:b/>
                <w:bCs/>
                <w:sz w:val="23"/>
                <w:szCs w:val="23"/>
              </w:rPr>
            </w:pPr>
          </w:p>
          <w:p w14:paraId="0062CDF3" w14:textId="77777777" w:rsidR="00D219EF" w:rsidRPr="00183434" w:rsidRDefault="00D219EF" w:rsidP="00183434">
            <w:pPr>
              <w:jc w:val="both"/>
              <w:rPr>
                <w:rFonts w:cs="Arial"/>
                <w:sz w:val="23"/>
                <w:szCs w:val="23"/>
              </w:rPr>
            </w:pPr>
            <w:r w:rsidRPr="00183434">
              <w:rPr>
                <w:rFonts w:cs="Arial"/>
                <w:sz w:val="23"/>
                <w:szCs w:val="23"/>
              </w:rPr>
              <w:t>There are two areas that require improvement in the way our property assets are managed.</w:t>
            </w:r>
          </w:p>
          <w:p w14:paraId="69838452" w14:textId="77777777" w:rsidR="00D219EF" w:rsidRPr="00183434" w:rsidRDefault="00D219EF" w:rsidP="00183434">
            <w:pPr>
              <w:pStyle w:val="ListParagraph"/>
              <w:numPr>
                <w:ilvl w:val="0"/>
                <w:numId w:val="62"/>
              </w:numPr>
              <w:spacing w:after="0" w:line="240" w:lineRule="auto"/>
              <w:contextualSpacing/>
              <w:jc w:val="both"/>
              <w:rPr>
                <w:rFonts w:ascii="Arial" w:hAnsi="Arial" w:cs="Arial"/>
                <w:b/>
                <w:bCs/>
                <w:sz w:val="23"/>
                <w:szCs w:val="23"/>
              </w:rPr>
            </w:pPr>
            <w:r w:rsidRPr="00183434">
              <w:rPr>
                <w:rFonts w:ascii="Arial" w:hAnsi="Arial" w:cs="Arial"/>
                <w:sz w:val="23"/>
                <w:szCs w:val="23"/>
              </w:rPr>
              <w:t>There has been a need to put in place up to date maintenance plans for the council’s property portfolio.</w:t>
            </w:r>
          </w:p>
          <w:p w14:paraId="75781B99" w14:textId="77777777" w:rsidR="00D219EF" w:rsidRPr="00183434" w:rsidRDefault="00D219EF" w:rsidP="00183434">
            <w:pPr>
              <w:pStyle w:val="ListParagraph"/>
              <w:numPr>
                <w:ilvl w:val="0"/>
                <w:numId w:val="62"/>
              </w:numPr>
              <w:spacing w:after="0" w:line="240" w:lineRule="auto"/>
              <w:contextualSpacing/>
              <w:jc w:val="both"/>
              <w:rPr>
                <w:rFonts w:ascii="Arial" w:hAnsi="Arial" w:cs="Arial"/>
                <w:b/>
                <w:bCs/>
                <w:sz w:val="23"/>
                <w:szCs w:val="23"/>
              </w:rPr>
            </w:pPr>
            <w:r w:rsidRPr="00183434">
              <w:rPr>
                <w:rFonts w:ascii="Arial" w:hAnsi="Arial" w:cs="Arial"/>
                <w:sz w:val="23"/>
                <w:szCs w:val="23"/>
              </w:rPr>
              <w:t>While our property assets are compliant in terms of statutory requirements, there is a need to improve the reporting and to ensure the right responsibility structures are in place for responsible persons.</w:t>
            </w:r>
          </w:p>
          <w:p w14:paraId="1BC7B4B2" w14:textId="77777777" w:rsidR="00D219EF" w:rsidRPr="00183434" w:rsidRDefault="00D219EF" w:rsidP="00183434">
            <w:pPr>
              <w:jc w:val="both"/>
              <w:rPr>
                <w:rFonts w:cs="Arial"/>
                <w:b/>
                <w:bCs/>
                <w:sz w:val="23"/>
                <w:szCs w:val="23"/>
              </w:rPr>
            </w:pPr>
          </w:p>
          <w:p w14:paraId="576BCABB" w14:textId="77777777" w:rsidR="00D219EF" w:rsidRPr="00183434" w:rsidRDefault="00D219EF" w:rsidP="00183434">
            <w:pPr>
              <w:jc w:val="both"/>
              <w:rPr>
                <w:rFonts w:cs="Arial"/>
                <w:color w:val="FF0000"/>
                <w:sz w:val="23"/>
                <w:szCs w:val="23"/>
              </w:rPr>
            </w:pPr>
          </w:p>
        </w:tc>
        <w:tc>
          <w:tcPr>
            <w:tcW w:w="5103" w:type="dxa"/>
          </w:tcPr>
          <w:p w14:paraId="5D4D5F5E" w14:textId="77777777" w:rsidR="00D219EF" w:rsidRPr="00183434" w:rsidRDefault="00D219EF" w:rsidP="00183434">
            <w:pPr>
              <w:pStyle w:val="ListParagraph"/>
              <w:jc w:val="both"/>
              <w:rPr>
                <w:rFonts w:ascii="Arial" w:hAnsi="Arial" w:cs="Arial"/>
                <w:sz w:val="23"/>
                <w:szCs w:val="23"/>
              </w:rPr>
            </w:pPr>
          </w:p>
          <w:p w14:paraId="7C508784" w14:textId="77777777" w:rsidR="00D219EF" w:rsidRPr="00183434" w:rsidRDefault="00D219EF" w:rsidP="00183434">
            <w:pPr>
              <w:pStyle w:val="ListParagraph"/>
              <w:jc w:val="both"/>
              <w:rPr>
                <w:rFonts w:ascii="Arial" w:hAnsi="Arial" w:cs="Arial"/>
                <w:sz w:val="23"/>
                <w:szCs w:val="23"/>
              </w:rPr>
            </w:pPr>
          </w:p>
          <w:p w14:paraId="386BC226" w14:textId="77777777" w:rsidR="00D219EF" w:rsidRPr="00183434" w:rsidRDefault="00D219EF" w:rsidP="00183434">
            <w:pPr>
              <w:pStyle w:val="ListParagraph"/>
              <w:numPr>
                <w:ilvl w:val="0"/>
                <w:numId w:val="63"/>
              </w:numPr>
              <w:spacing w:after="0" w:line="240" w:lineRule="auto"/>
              <w:contextualSpacing/>
              <w:jc w:val="both"/>
              <w:rPr>
                <w:rFonts w:ascii="Arial" w:hAnsi="Arial" w:cs="Arial"/>
                <w:sz w:val="23"/>
                <w:szCs w:val="23"/>
              </w:rPr>
            </w:pPr>
            <w:r w:rsidRPr="00183434">
              <w:rPr>
                <w:rFonts w:ascii="Arial" w:hAnsi="Arial" w:cs="Arial"/>
                <w:sz w:val="23"/>
                <w:szCs w:val="23"/>
              </w:rPr>
              <w:t xml:space="preserve">Condition surveys have been completed on the most significant </w:t>
            </w:r>
            <w:proofErr w:type="gramStart"/>
            <w:r w:rsidRPr="00183434">
              <w:rPr>
                <w:rFonts w:ascii="Arial" w:hAnsi="Arial" w:cs="Arial"/>
                <w:sz w:val="23"/>
                <w:szCs w:val="23"/>
              </w:rPr>
              <w:t>buildings,</w:t>
            </w:r>
            <w:proofErr w:type="gramEnd"/>
            <w:r w:rsidRPr="00183434">
              <w:rPr>
                <w:rFonts w:ascii="Arial" w:hAnsi="Arial" w:cs="Arial"/>
                <w:sz w:val="23"/>
                <w:szCs w:val="23"/>
              </w:rPr>
              <w:t xml:space="preserve"> the surveys are in progress on the other building in the portfolio. </w:t>
            </w:r>
            <w:proofErr w:type="gramStart"/>
            <w:r w:rsidRPr="00183434">
              <w:rPr>
                <w:rFonts w:ascii="Arial" w:hAnsi="Arial" w:cs="Arial"/>
                <w:sz w:val="23"/>
                <w:szCs w:val="23"/>
              </w:rPr>
              <w:t>Ten year</w:t>
            </w:r>
            <w:proofErr w:type="gramEnd"/>
            <w:r w:rsidRPr="00183434">
              <w:rPr>
                <w:rFonts w:ascii="Arial" w:hAnsi="Arial" w:cs="Arial"/>
                <w:sz w:val="23"/>
                <w:szCs w:val="23"/>
              </w:rPr>
              <w:t xml:space="preserve"> maintenance plans are in place for the significant buildings, to support the development of the capital maintenance programme, with staffing resources in place to deliver maintenance plans for the other buildings by December 2026.</w:t>
            </w:r>
          </w:p>
          <w:p w14:paraId="1903F490" w14:textId="77777777" w:rsidR="00D219EF" w:rsidRPr="00183434" w:rsidRDefault="00D219EF" w:rsidP="00183434">
            <w:pPr>
              <w:pStyle w:val="ListParagraph"/>
              <w:numPr>
                <w:ilvl w:val="0"/>
                <w:numId w:val="63"/>
              </w:numPr>
              <w:spacing w:after="0" w:line="240" w:lineRule="auto"/>
              <w:contextualSpacing/>
              <w:jc w:val="both"/>
              <w:rPr>
                <w:rFonts w:ascii="Arial" w:hAnsi="Arial" w:cs="Arial"/>
                <w:color w:val="FF0000"/>
                <w:sz w:val="23"/>
                <w:szCs w:val="23"/>
              </w:rPr>
            </w:pPr>
            <w:r w:rsidRPr="00183434">
              <w:rPr>
                <w:rFonts w:ascii="Arial" w:hAnsi="Arial" w:cs="Arial"/>
                <w:sz w:val="23"/>
                <w:szCs w:val="23"/>
              </w:rPr>
              <w:t>Training and a structure for premise managers will be in place by October 2026. Quality assurance inspections will be documented and retained in a central facilities filing system with reports prepared for management</w:t>
            </w:r>
          </w:p>
        </w:tc>
      </w:tr>
      <w:tr w:rsidR="00D219EF" w:rsidRPr="00183434" w14:paraId="1E8526DD" w14:textId="77777777" w:rsidTr="003C6937">
        <w:tc>
          <w:tcPr>
            <w:tcW w:w="675" w:type="dxa"/>
          </w:tcPr>
          <w:p w14:paraId="2A8C7D5B" w14:textId="77777777" w:rsidR="00D219EF" w:rsidRPr="00183434" w:rsidRDefault="00D219EF" w:rsidP="00183434">
            <w:pPr>
              <w:jc w:val="both"/>
              <w:rPr>
                <w:rFonts w:cs="Arial"/>
                <w:color w:val="FF0000"/>
                <w:sz w:val="23"/>
                <w:szCs w:val="23"/>
              </w:rPr>
            </w:pPr>
            <w:r w:rsidRPr="00183434">
              <w:rPr>
                <w:rFonts w:cs="Arial"/>
                <w:sz w:val="23"/>
                <w:szCs w:val="23"/>
              </w:rPr>
              <w:t>2</w:t>
            </w:r>
          </w:p>
        </w:tc>
        <w:tc>
          <w:tcPr>
            <w:tcW w:w="4395" w:type="dxa"/>
          </w:tcPr>
          <w:p w14:paraId="6AB1D197" w14:textId="77777777" w:rsidR="00D219EF" w:rsidRPr="00183434" w:rsidRDefault="00D219EF" w:rsidP="00183434">
            <w:pPr>
              <w:jc w:val="both"/>
              <w:rPr>
                <w:rFonts w:cs="Arial"/>
                <w:b/>
                <w:bCs/>
                <w:sz w:val="23"/>
                <w:szCs w:val="23"/>
              </w:rPr>
            </w:pPr>
            <w:r w:rsidRPr="00183434">
              <w:rPr>
                <w:rFonts w:cs="Arial"/>
                <w:b/>
                <w:bCs/>
                <w:sz w:val="23"/>
                <w:szCs w:val="23"/>
              </w:rPr>
              <w:t>Workforce Capacity and Capability</w:t>
            </w:r>
          </w:p>
          <w:p w14:paraId="42C27D46" w14:textId="77777777" w:rsidR="00D219EF" w:rsidRPr="00183434" w:rsidRDefault="00D219EF" w:rsidP="00183434">
            <w:pPr>
              <w:jc w:val="both"/>
              <w:rPr>
                <w:rFonts w:cs="Arial"/>
                <w:b/>
                <w:bCs/>
                <w:color w:val="FF0000"/>
                <w:sz w:val="23"/>
                <w:szCs w:val="23"/>
              </w:rPr>
            </w:pPr>
          </w:p>
          <w:p w14:paraId="3A4CC417" w14:textId="77777777" w:rsidR="00D219EF" w:rsidRPr="00183434" w:rsidRDefault="00D219EF" w:rsidP="00183434">
            <w:pPr>
              <w:spacing w:line="300" w:lineRule="atLeast"/>
              <w:jc w:val="both"/>
              <w:rPr>
                <w:rFonts w:cs="Arial"/>
                <w:color w:val="FF0000"/>
                <w:sz w:val="23"/>
                <w:szCs w:val="23"/>
              </w:rPr>
            </w:pPr>
            <w:r w:rsidRPr="00183434">
              <w:rPr>
                <w:rFonts w:cs="Arial"/>
                <w:sz w:val="23"/>
                <w:szCs w:val="23"/>
              </w:rPr>
              <w:t xml:space="preserve">Workforce capacity and capability remain an area requiring improvement during 2025/26. The Council continues to experience challenges in recruiting and retaining suitably qualified and experienced employees in </w:t>
            </w:r>
            <w:proofErr w:type="gramStart"/>
            <w:r w:rsidRPr="00183434">
              <w:rPr>
                <w:rFonts w:cs="Arial"/>
                <w:sz w:val="23"/>
                <w:szCs w:val="23"/>
              </w:rPr>
              <w:t>a number of</w:t>
            </w:r>
            <w:proofErr w:type="gramEnd"/>
            <w:r w:rsidRPr="00183434">
              <w:rPr>
                <w:rFonts w:cs="Arial"/>
                <w:sz w:val="23"/>
                <w:szCs w:val="23"/>
              </w:rPr>
              <w:t xml:space="preserve"> specialist and technical roles, particularly where remuneration is not sufficiently competitive within the wider labour market and market supplements are not available. This creates ongoing risks to service resilience, organisational capacity and the Council’s ability to sustain delivery of its priorities. These challenges are further compounded by the uncertainty arising from Local Government Reorganisation, which increases the importance of effective workforce planning, leadership capacity and support for employees through organisational change.</w:t>
            </w:r>
          </w:p>
          <w:p w14:paraId="2E0B8225" w14:textId="77777777" w:rsidR="00D219EF" w:rsidRPr="00183434" w:rsidRDefault="00D219EF" w:rsidP="00183434">
            <w:pPr>
              <w:jc w:val="both"/>
              <w:rPr>
                <w:rFonts w:cs="Arial"/>
                <w:color w:val="FF0000"/>
                <w:sz w:val="23"/>
                <w:szCs w:val="23"/>
              </w:rPr>
            </w:pPr>
          </w:p>
        </w:tc>
        <w:tc>
          <w:tcPr>
            <w:tcW w:w="5103" w:type="dxa"/>
          </w:tcPr>
          <w:p w14:paraId="0A8C8C7A" w14:textId="77777777" w:rsidR="00D219EF" w:rsidRPr="00183434" w:rsidRDefault="00D219EF" w:rsidP="00183434">
            <w:pPr>
              <w:spacing w:line="300" w:lineRule="atLeast"/>
              <w:jc w:val="both"/>
              <w:rPr>
                <w:rFonts w:cs="Arial"/>
                <w:sz w:val="23"/>
                <w:szCs w:val="23"/>
              </w:rPr>
            </w:pPr>
          </w:p>
          <w:p w14:paraId="4CF5DF4A" w14:textId="77777777" w:rsidR="00D219EF" w:rsidRPr="00183434" w:rsidRDefault="00D219EF" w:rsidP="00183434">
            <w:pPr>
              <w:spacing w:line="300" w:lineRule="atLeast"/>
              <w:jc w:val="both"/>
              <w:rPr>
                <w:rFonts w:cs="Arial"/>
                <w:sz w:val="23"/>
                <w:szCs w:val="23"/>
              </w:rPr>
            </w:pPr>
          </w:p>
          <w:p w14:paraId="0F83F1DA" w14:textId="77777777" w:rsidR="00D219EF" w:rsidRPr="00183434" w:rsidRDefault="00D219EF" w:rsidP="00183434">
            <w:pPr>
              <w:spacing w:line="300" w:lineRule="atLeast"/>
              <w:jc w:val="both"/>
              <w:rPr>
                <w:rFonts w:cs="Arial"/>
                <w:sz w:val="23"/>
                <w:szCs w:val="23"/>
              </w:rPr>
            </w:pPr>
            <w:r w:rsidRPr="00183434">
              <w:rPr>
                <w:rFonts w:cs="Arial"/>
                <w:sz w:val="23"/>
                <w:szCs w:val="23"/>
              </w:rPr>
              <w:t>During 2026/27 the Council will continue to implement the People Plan, with a focus on strengthening workforce planning, improving the Council’s employer offer and widening recruitment pathways into hard-to-fill roles through apprenticeships, early careers activity and targeted recruitment campaigns. Work will also continue to support internal talent development, succession planning and retention, alongside the review and updating of key HR policies. In parallel, the Council will continue to support managers and employees through Local Government Reorganisation by strengthening leadership capacity, communication and organisational development activity to help maintain service resilience and prepare the workforce for change.</w:t>
            </w:r>
          </w:p>
          <w:p w14:paraId="53E1F51C" w14:textId="77777777" w:rsidR="00D219EF" w:rsidRPr="00183434" w:rsidRDefault="00D219EF" w:rsidP="00183434">
            <w:pPr>
              <w:jc w:val="both"/>
              <w:rPr>
                <w:rFonts w:cs="Arial"/>
                <w:snapToGrid w:val="0"/>
                <w:color w:val="FF0000"/>
                <w:sz w:val="23"/>
                <w:szCs w:val="23"/>
                <w:lang w:eastAsia="en-US"/>
              </w:rPr>
            </w:pPr>
          </w:p>
        </w:tc>
      </w:tr>
      <w:tr w:rsidR="00D219EF" w:rsidRPr="00183434" w14:paraId="0DA67045" w14:textId="77777777" w:rsidTr="003C6937">
        <w:tc>
          <w:tcPr>
            <w:tcW w:w="675" w:type="dxa"/>
          </w:tcPr>
          <w:p w14:paraId="7530B124" w14:textId="77777777" w:rsidR="00D219EF" w:rsidRPr="00183434" w:rsidRDefault="00D219EF" w:rsidP="00183434">
            <w:pPr>
              <w:jc w:val="both"/>
              <w:rPr>
                <w:rFonts w:cs="Arial"/>
                <w:sz w:val="23"/>
                <w:szCs w:val="23"/>
              </w:rPr>
            </w:pPr>
            <w:r w:rsidRPr="00183434">
              <w:rPr>
                <w:rFonts w:cs="Arial"/>
                <w:sz w:val="23"/>
                <w:szCs w:val="23"/>
              </w:rPr>
              <w:t>3</w:t>
            </w:r>
          </w:p>
        </w:tc>
        <w:tc>
          <w:tcPr>
            <w:tcW w:w="4395" w:type="dxa"/>
          </w:tcPr>
          <w:p w14:paraId="6808AF82" w14:textId="77777777" w:rsidR="00D219EF" w:rsidRPr="00183434" w:rsidRDefault="00D219EF" w:rsidP="00183434">
            <w:pPr>
              <w:jc w:val="both"/>
              <w:rPr>
                <w:rFonts w:cs="Arial"/>
                <w:b/>
                <w:bCs/>
                <w:sz w:val="23"/>
                <w:szCs w:val="23"/>
              </w:rPr>
            </w:pPr>
            <w:r w:rsidRPr="00183434">
              <w:rPr>
                <w:rFonts w:cs="Arial"/>
                <w:b/>
                <w:bCs/>
                <w:sz w:val="23"/>
                <w:szCs w:val="23"/>
              </w:rPr>
              <w:t>Procurement</w:t>
            </w:r>
          </w:p>
          <w:p w14:paraId="3041EAC4" w14:textId="77777777" w:rsidR="00D219EF" w:rsidRPr="00183434" w:rsidRDefault="00D219EF" w:rsidP="00183434">
            <w:pPr>
              <w:jc w:val="both"/>
              <w:rPr>
                <w:rFonts w:cs="Arial"/>
                <w:b/>
                <w:bCs/>
                <w:sz w:val="23"/>
                <w:szCs w:val="23"/>
              </w:rPr>
            </w:pPr>
          </w:p>
          <w:p w14:paraId="6BD82131" w14:textId="77777777" w:rsidR="00D219EF" w:rsidRPr="00183434" w:rsidRDefault="00D219EF" w:rsidP="00183434">
            <w:pPr>
              <w:jc w:val="both"/>
              <w:rPr>
                <w:rFonts w:cs="Arial"/>
                <w:sz w:val="23"/>
                <w:szCs w:val="23"/>
              </w:rPr>
            </w:pPr>
            <w:r w:rsidRPr="00183434">
              <w:rPr>
                <w:rFonts w:cs="Arial"/>
                <w:sz w:val="23"/>
                <w:szCs w:val="23"/>
              </w:rPr>
              <w:lastRenderedPageBreak/>
              <w:t>The Procurement Act 2023 came into force in February 2025, introducing significant new statutory requirements for transparency, accountability and the management of public procurement. In response, the Council has implemented substantial changes to the way goods, services and works are procured and how contracts are overseen to align with the new legislative framework.</w:t>
            </w:r>
          </w:p>
          <w:p w14:paraId="5D7E3349" w14:textId="77777777" w:rsidR="00D219EF" w:rsidRPr="00183434" w:rsidRDefault="00D219EF" w:rsidP="00183434">
            <w:pPr>
              <w:jc w:val="both"/>
              <w:rPr>
                <w:rFonts w:cs="Arial"/>
                <w:sz w:val="23"/>
                <w:szCs w:val="23"/>
              </w:rPr>
            </w:pPr>
          </w:p>
          <w:p w14:paraId="4D82534E" w14:textId="77777777" w:rsidR="00D219EF" w:rsidRPr="00183434" w:rsidRDefault="00D219EF" w:rsidP="00183434">
            <w:pPr>
              <w:jc w:val="both"/>
              <w:rPr>
                <w:rFonts w:cs="Arial"/>
                <w:sz w:val="23"/>
                <w:szCs w:val="23"/>
              </w:rPr>
            </w:pPr>
            <w:r w:rsidRPr="00183434">
              <w:rPr>
                <w:rFonts w:cs="Arial"/>
                <w:sz w:val="23"/>
                <w:szCs w:val="23"/>
              </w:rPr>
              <w:t xml:space="preserve">Further work is required to provide full assurance that all Council expenditure is compliant with the Act and that the associated transparency obligations are being met.  The new processes, controls and documentation must be consistently embedded across all service areas to ensure a robust and auditable approach to procurement and contract management. The development and approval of a new sustainable Procurement Strategy </w:t>
            </w:r>
            <w:proofErr w:type="gramStart"/>
            <w:r w:rsidRPr="00183434">
              <w:rPr>
                <w:rFonts w:cs="Arial"/>
                <w:sz w:val="23"/>
                <w:szCs w:val="23"/>
              </w:rPr>
              <w:t>remains</w:t>
            </w:r>
            <w:proofErr w:type="gramEnd"/>
            <w:r w:rsidRPr="00183434">
              <w:rPr>
                <w:rFonts w:cs="Arial"/>
                <w:sz w:val="23"/>
                <w:szCs w:val="23"/>
              </w:rPr>
              <w:t xml:space="preserve"> a key priority, providing the overarching framework needed to demonstrate lawful, transparent and well</w:t>
            </w:r>
            <w:r w:rsidRPr="00183434">
              <w:rPr>
                <w:rFonts w:cs="Arial"/>
                <w:sz w:val="23"/>
                <w:szCs w:val="23"/>
              </w:rPr>
              <w:noBreakHyphen/>
              <w:t>governed procurement activity.</w:t>
            </w:r>
          </w:p>
          <w:p w14:paraId="1BC2C4BC" w14:textId="77777777" w:rsidR="00D219EF" w:rsidRPr="00183434" w:rsidRDefault="00D219EF" w:rsidP="00183434">
            <w:pPr>
              <w:jc w:val="both"/>
              <w:rPr>
                <w:rFonts w:cs="Arial"/>
                <w:sz w:val="23"/>
                <w:szCs w:val="23"/>
              </w:rPr>
            </w:pPr>
          </w:p>
          <w:p w14:paraId="1A021B45" w14:textId="77777777" w:rsidR="00D219EF" w:rsidRPr="00183434" w:rsidRDefault="00D219EF" w:rsidP="00183434">
            <w:pPr>
              <w:jc w:val="both"/>
              <w:rPr>
                <w:rFonts w:cs="Arial"/>
                <w:sz w:val="23"/>
                <w:szCs w:val="23"/>
              </w:rPr>
            </w:pPr>
          </w:p>
          <w:p w14:paraId="5DDCD7AB" w14:textId="77777777" w:rsidR="00D219EF" w:rsidRPr="00183434" w:rsidRDefault="00D219EF" w:rsidP="00183434">
            <w:pPr>
              <w:jc w:val="both"/>
              <w:rPr>
                <w:rFonts w:cs="Arial"/>
                <w:sz w:val="23"/>
                <w:szCs w:val="23"/>
              </w:rPr>
            </w:pPr>
          </w:p>
          <w:p w14:paraId="7C4A9E66" w14:textId="77777777" w:rsidR="00D219EF" w:rsidRPr="00183434" w:rsidRDefault="00D219EF" w:rsidP="00183434">
            <w:pPr>
              <w:jc w:val="both"/>
              <w:rPr>
                <w:rFonts w:cs="Arial"/>
                <w:sz w:val="23"/>
                <w:szCs w:val="23"/>
              </w:rPr>
            </w:pPr>
          </w:p>
        </w:tc>
        <w:tc>
          <w:tcPr>
            <w:tcW w:w="5103" w:type="dxa"/>
          </w:tcPr>
          <w:p w14:paraId="55ABA2BE" w14:textId="77777777" w:rsidR="00D219EF" w:rsidRPr="00183434" w:rsidRDefault="00D219EF" w:rsidP="00183434">
            <w:pPr>
              <w:ind w:left="61"/>
              <w:jc w:val="both"/>
              <w:rPr>
                <w:rFonts w:cs="Arial"/>
                <w:color w:val="0070C0"/>
                <w:sz w:val="23"/>
                <w:szCs w:val="23"/>
              </w:rPr>
            </w:pPr>
          </w:p>
          <w:p w14:paraId="348F3E3F" w14:textId="77777777" w:rsidR="00D219EF" w:rsidRPr="00183434" w:rsidRDefault="00D219EF" w:rsidP="00183434">
            <w:pPr>
              <w:ind w:left="61"/>
              <w:jc w:val="both"/>
              <w:rPr>
                <w:rFonts w:cs="Arial"/>
                <w:color w:val="0070C0"/>
                <w:sz w:val="23"/>
                <w:szCs w:val="23"/>
              </w:rPr>
            </w:pPr>
          </w:p>
          <w:p w14:paraId="7653CDF3" w14:textId="77777777" w:rsidR="00D219EF" w:rsidRPr="00183434" w:rsidRDefault="00D219EF" w:rsidP="00183434">
            <w:pPr>
              <w:jc w:val="both"/>
              <w:rPr>
                <w:rFonts w:cs="Arial"/>
                <w:sz w:val="23"/>
                <w:szCs w:val="23"/>
              </w:rPr>
            </w:pPr>
            <w:r w:rsidRPr="00183434">
              <w:rPr>
                <w:rFonts w:cs="Arial"/>
                <w:sz w:val="23"/>
                <w:szCs w:val="23"/>
              </w:rPr>
              <w:lastRenderedPageBreak/>
              <w:t xml:space="preserve">The Council continues to implement the requirements of the Procurement Act 2023, with a programme of work designed to strengthen transparency, improve governance, and ensure that procurement and contract management practices are fully compliant with the new legislation. </w:t>
            </w:r>
          </w:p>
          <w:p w14:paraId="0810E608" w14:textId="77777777" w:rsidR="00D219EF" w:rsidRPr="00183434" w:rsidRDefault="00D219EF" w:rsidP="00183434">
            <w:pPr>
              <w:jc w:val="both"/>
              <w:rPr>
                <w:rFonts w:cs="Arial"/>
                <w:sz w:val="23"/>
                <w:szCs w:val="23"/>
              </w:rPr>
            </w:pPr>
          </w:p>
          <w:p w14:paraId="0B557309" w14:textId="77777777" w:rsidR="00D219EF" w:rsidRPr="00183434" w:rsidRDefault="00D219EF" w:rsidP="00183434">
            <w:pPr>
              <w:jc w:val="both"/>
              <w:rPr>
                <w:rFonts w:cs="Arial"/>
                <w:sz w:val="23"/>
                <w:szCs w:val="23"/>
              </w:rPr>
            </w:pPr>
            <w:r w:rsidRPr="00183434">
              <w:rPr>
                <w:rFonts w:cs="Arial"/>
                <w:sz w:val="23"/>
                <w:szCs w:val="23"/>
              </w:rPr>
              <w:t>Procurement is increasing its business partnering with service areas to proactively capture forward pipelines, reducing reliance on reactive procurement, and enabling earlier planning, better market engagement and improved value for money.</w:t>
            </w:r>
          </w:p>
          <w:p w14:paraId="682AE799" w14:textId="77777777" w:rsidR="00D219EF" w:rsidRPr="00183434" w:rsidRDefault="00D219EF" w:rsidP="00183434">
            <w:pPr>
              <w:jc w:val="both"/>
              <w:rPr>
                <w:rFonts w:cs="Arial"/>
                <w:sz w:val="23"/>
                <w:szCs w:val="23"/>
              </w:rPr>
            </w:pPr>
            <w:r w:rsidRPr="00183434">
              <w:rPr>
                <w:rFonts w:cs="Arial"/>
                <w:sz w:val="23"/>
                <w:szCs w:val="23"/>
              </w:rPr>
              <w:t xml:space="preserve">To support full organisational embedding of the Act, comprehensive training is being delivered to </w:t>
            </w:r>
            <w:proofErr w:type="gramStart"/>
            <w:r w:rsidRPr="00183434">
              <w:rPr>
                <w:rFonts w:cs="Arial"/>
                <w:sz w:val="23"/>
                <w:szCs w:val="23"/>
              </w:rPr>
              <w:t>include,</w:t>
            </w:r>
            <w:proofErr w:type="gramEnd"/>
            <w:r w:rsidRPr="00183434">
              <w:rPr>
                <w:rFonts w:cs="Arial"/>
                <w:sz w:val="23"/>
                <w:szCs w:val="23"/>
              </w:rPr>
              <w:t xml:space="preserve"> targeted officer training, bite</w:t>
            </w:r>
            <w:r w:rsidRPr="00183434">
              <w:rPr>
                <w:rFonts w:cs="Arial"/>
                <w:sz w:val="23"/>
                <w:szCs w:val="23"/>
              </w:rPr>
              <w:noBreakHyphen/>
              <w:t>size modules, and role</w:t>
            </w:r>
            <w:r w:rsidRPr="00183434">
              <w:rPr>
                <w:rFonts w:cs="Arial"/>
                <w:sz w:val="23"/>
                <w:szCs w:val="23"/>
              </w:rPr>
              <w:noBreakHyphen/>
              <w:t>specific guidance. This will be complemented by more in</w:t>
            </w:r>
            <w:r w:rsidRPr="00183434">
              <w:rPr>
                <w:rFonts w:cs="Arial"/>
                <w:sz w:val="23"/>
                <w:szCs w:val="23"/>
              </w:rPr>
              <w:noBreakHyphen/>
              <w:t>depth procurement training for relevant officers to ensure that statutory transparency, publication and contract management obligations are consistently met.</w:t>
            </w:r>
          </w:p>
          <w:p w14:paraId="5103D5C9" w14:textId="77777777" w:rsidR="00D219EF" w:rsidRPr="00183434" w:rsidRDefault="00D219EF" w:rsidP="00183434">
            <w:pPr>
              <w:jc w:val="both"/>
              <w:rPr>
                <w:rFonts w:cs="Arial"/>
                <w:sz w:val="23"/>
                <w:szCs w:val="23"/>
              </w:rPr>
            </w:pPr>
          </w:p>
          <w:p w14:paraId="1B2D6DDE" w14:textId="77777777" w:rsidR="00D219EF" w:rsidRPr="00183434" w:rsidRDefault="00D219EF" w:rsidP="00183434">
            <w:pPr>
              <w:jc w:val="both"/>
              <w:rPr>
                <w:rFonts w:cs="Arial"/>
                <w:sz w:val="23"/>
                <w:szCs w:val="23"/>
              </w:rPr>
            </w:pPr>
            <w:r w:rsidRPr="00183434">
              <w:rPr>
                <w:rFonts w:cs="Arial"/>
                <w:sz w:val="23"/>
                <w:szCs w:val="23"/>
              </w:rPr>
              <w:t>The Council’s e</w:t>
            </w:r>
            <w:r w:rsidRPr="00183434">
              <w:rPr>
                <w:rFonts w:cs="Arial"/>
                <w:sz w:val="23"/>
                <w:szCs w:val="23"/>
              </w:rPr>
              <w:noBreakHyphen/>
              <w:t>procurement system will be upgraded from ProContract to the Source</w:t>
            </w:r>
            <w:r w:rsidRPr="00183434">
              <w:rPr>
                <w:rFonts w:cs="Arial"/>
                <w:sz w:val="23"/>
                <w:szCs w:val="23"/>
              </w:rPr>
              <w:noBreakHyphen/>
              <w:t>to</w:t>
            </w:r>
            <w:r w:rsidRPr="00183434">
              <w:rPr>
                <w:rFonts w:cs="Arial"/>
                <w:sz w:val="23"/>
                <w:szCs w:val="23"/>
              </w:rPr>
              <w:noBreakHyphen/>
              <w:t xml:space="preserve">Contract platform, providing improved sourcing, evaluation, contract management and supplier oversight with training delivered to service areas to ensure that contract performance is monitored effectively and in line with the requirements of the Procurement Act 2023. </w:t>
            </w:r>
          </w:p>
          <w:p w14:paraId="38DC9C11" w14:textId="77777777" w:rsidR="00D219EF" w:rsidRPr="00183434" w:rsidRDefault="00D219EF" w:rsidP="00183434">
            <w:pPr>
              <w:jc w:val="both"/>
              <w:rPr>
                <w:rFonts w:cs="Arial"/>
                <w:sz w:val="23"/>
                <w:szCs w:val="23"/>
              </w:rPr>
            </w:pPr>
          </w:p>
          <w:p w14:paraId="025BF76B" w14:textId="77777777" w:rsidR="00D219EF" w:rsidRPr="00183434" w:rsidRDefault="00D219EF" w:rsidP="00183434">
            <w:pPr>
              <w:jc w:val="both"/>
              <w:rPr>
                <w:rFonts w:cs="Arial"/>
                <w:sz w:val="23"/>
                <w:szCs w:val="23"/>
              </w:rPr>
            </w:pPr>
            <w:r w:rsidRPr="00183434">
              <w:rPr>
                <w:rFonts w:cs="Arial"/>
                <w:sz w:val="23"/>
                <w:szCs w:val="23"/>
              </w:rPr>
              <w:t>Work will continue to deliver the Procurement Improvement Plan, including strengthening controls, documentation, and assurance mechanisms. New housing management systems (Total Mobile and MRI Evolution) will be integrated with Unit4 to improved management information, reduce duplication and enhance the accuracy and completeness of procurement and contract data.</w:t>
            </w:r>
          </w:p>
          <w:p w14:paraId="1D2F830A" w14:textId="77777777" w:rsidR="00D219EF" w:rsidRPr="00183434" w:rsidRDefault="00D219EF" w:rsidP="00183434">
            <w:pPr>
              <w:jc w:val="both"/>
              <w:rPr>
                <w:rFonts w:cs="Arial"/>
                <w:sz w:val="23"/>
                <w:szCs w:val="23"/>
              </w:rPr>
            </w:pPr>
          </w:p>
          <w:p w14:paraId="42C2CED5" w14:textId="77777777" w:rsidR="00D219EF" w:rsidRPr="00183434" w:rsidRDefault="00D219EF" w:rsidP="00183434">
            <w:pPr>
              <w:jc w:val="both"/>
              <w:rPr>
                <w:rFonts w:cs="Arial"/>
                <w:sz w:val="23"/>
                <w:szCs w:val="23"/>
              </w:rPr>
            </w:pPr>
            <w:r w:rsidRPr="00183434">
              <w:rPr>
                <w:rFonts w:cs="Arial"/>
                <w:sz w:val="23"/>
                <w:szCs w:val="23"/>
              </w:rPr>
              <w:t>The structure and capacity of the Procurement and Accounts Payable teams will be reviewed to ensure the Council has the right skills, resources and resilience to maintain compliance, support service areas and drive continuous improvement.</w:t>
            </w:r>
          </w:p>
          <w:p w14:paraId="468594B3" w14:textId="77777777" w:rsidR="00D219EF" w:rsidRPr="00183434" w:rsidRDefault="00D219EF" w:rsidP="00183434">
            <w:pPr>
              <w:jc w:val="both"/>
              <w:rPr>
                <w:rFonts w:cs="Arial"/>
                <w:color w:val="FF0000"/>
                <w:sz w:val="23"/>
                <w:szCs w:val="23"/>
              </w:rPr>
            </w:pPr>
          </w:p>
        </w:tc>
      </w:tr>
    </w:tbl>
    <w:p w14:paraId="452DC75B" w14:textId="77777777" w:rsidR="00D219EF" w:rsidRPr="00183434" w:rsidRDefault="00D219EF" w:rsidP="00183434">
      <w:pPr>
        <w:jc w:val="both"/>
        <w:rPr>
          <w:rFonts w:cs="Arial"/>
          <w:color w:val="FF0000"/>
          <w:sz w:val="23"/>
          <w:szCs w:val="23"/>
        </w:rPr>
      </w:pPr>
    </w:p>
    <w:p w14:paraId="0845C20F" w14:textId="77777777" w:rsidR="00D219EF" w:rsidRPr="00183434" w:rsidRDefault="00D219EF" w:rsidP="00183434">
      <w:pPr>
        <w:jc w:val="both"/>
        <w:rPr>
          <w:rFonts w:cs="Arial"/>
          <w:color w:val="FF0000"/>
          <w:sz w:val="23"/>
          <w:szCs w:val="23"/>
        </w:rPr>
      </w:pPr>
    </w:p>
    <w:p w14:paraId="678B1991" w14:textId="77777777" w:rsidR="00183434" w:rsidRDefault="00183434">
      <w:pPr>
        <w:rPr>
          <w:rFonts w:cs="Arial"/>
          <w:b/>
          <w:bCs/>
          <w:sz w:val="23"/>
          <w:szCs w:val="23"/>
        </w:rPr>
      </w:pPr>
      <w:r>
        <w:rPr>
          <w:rFonts w:cs="Arial"/>
          <w:b/>
          <w:bCs/>
          <w:sz w:val="23"/>
          <w:szCs w:val="23"/>
        </w:rPr>
        <w:br w:type="page"/>
      </w:r>
    </w:p>
    <w:p w14:paraId="77325E50" w14:textId="2209A852" w:rsidR="00D219EF" w:rsidRPr="00183434" w:rsidRDefault="00D219EF" w:rsidP="00183434">
      <w:pPr>
        <w:jc w:val="both"/>
        <w:rPr>
          <w:rFonts w:cs="Arial"/>
          <w:b/>
          <w:bCs/>
          <w:color w:val="FF0000"/>
          <w:sz w:val="23"/>
          <w:szCs w:val="23"/>
        </w:rPr>
      </w:pPr>
      <w:r w:rsidRPr="00183434">
        <w:rPr>
          <w:rFonts w:cs="Arial"/>
          <w:b/>
          <w:bCs/>
          <w:sz w:val="23"/>
          <w:szCs w:val="23"/>
        </w:rPr>
        <w:lastRenderedPageBreak/>
        <w:t xml:space="preserve">Forward Look on Governance </w:t>
      </w:r>
    </w:p>
    <w:p w14:paraId="62590AFC" w14:textId="77777777" w:rsidR="00D219EF" w:rsidRPr="00183434" w:rsidRDefault="00D219EF" w:rsidP="00183434">
      <w:pPr>
        <w:jc w:val="both"/>
        <w:rPr>
          <w:rFonts w:cs="Arial"/>
          <w:b/>
          <w:bCs/>
          <w:sz w:val="23"/>
          <w:szCs w:val="23"/>
        </w:rPr>
      </w:pPr>
    </w:p>
    <w:p w14:paraId="0D07635B" w14:textId="77777777" w:rsidR="00D219EF" w:rsidRPr="00183434" w:rsidRDefault="00D219EF" w:rsidP="00183434">
      <w:pPr>
        <w:jc w:val="both"/>
        <w:rPr>
          <w:rFonts w:cs="Arial"/>
          <w:color w:val="FF0000"/>
          <w:sz w:val="23"/>
          <w:szCs w:val="23"/>
        </w:rPr>
      </w:pPr>
      <w:r w:rsidRPr="00183434">
        <w:rPr>
          <w:rFonts w:cs="Arial"/>
          <w:sz w:val="23"/>
          <w:szCs w:val="23"/>
        </w:rPr>
        <w:t xml:space="preserve">To meet the future needs of the Council, governance arrangements will need to evolve in respect of: - </w:t>
      </w:r>
    </w:p>
    <w:p w14:paraId="6F7B4C8F" w14:textId="77777777" w:rsidR="00D219EF" w:rsidRPr="00183434" w:rsidRDefault="00D219EF" w:rsidP="00183434">
      <w:pPr>
        <w:jc w:val="both"/>
        <w:rPr>
          <w:rFonts w:cs="Arial"/>
          <w:sz w:val="23"/>
          <w:szCs w:val="23"/>
        </w:rPr>
      </w:pPr>
    </w:p>
    <w:p w14:paraId="6834F41F" w14:textId="77777777" w:rsidR="00D219EF" w:rsidRPr="00183434" w:rsidRDefault="00D219EF" w:rsidP="00183434">
      <w:pPr>
        <w:jc w:val="both"/>
        <w:rPr>
          <w:rFonts w:cs="Arial"/>
          <w:b/>
          <w:bCs/>
          <w:sz w:val="23"/>
          <w:szCs w:val="23"/>
        </w:rPr>
      </w:pPr>
      <w:r w:rsidRPr="00183434">
        <w:rPr>
          <w:rFonts w:cs="Arial"/>
          <w:b/>
          <w:bCs/>
          <w:sz w:val="23"/>
          <w:szCs w:val="23"/>
        </w:rPr>
        <w:t>Local Government Reorganisation (LGR)</w:t>
      </w:r>
    </w:p>
    <w:p w14:paraId="528631F0" w14:textId="77777777" w:rsidR="00D219EF" w:rsidRPr="00183434" w:rsidRDefault="00D219EF" w:rsidP="00183434">
      <w:pPr>
        <w:jc w:val="both"/>
        <w:rPr>
          <w:rFonts w:cs="Arial"/>
          <w:sz w:val="23"/>
          <w:szCs w:val="23"/>
          <w:u w:val="single"/>
        </w:rPr>
      </w:pPr>
    </w:p>
    <w:p w14:paraId="01369484" w14:textId="77777777" w:rsidR="00D219EF" w:rsidRPr="00183434" w:rsidRDefault="00D219EF" w:rsidP="00183434">
      <w:pPr>
        <w:jc w:val="both"/>
        <w:rPr>
          <w:rFonts w:cs="Arial"/>
          <w:sz w:val="23"/>
          <w:szCs w:val="23"/>
        </w:rPr>
      </w:pPr>
      <w:r w:rsidRPr="00183434">
        <w:rPr>
          <w:rFonts w:cs="Arial"/>
          <w:sz w:val="23"/>
          <w:szCs w:val="23"/>
        </w:rPr>
        <w:t xml:space="preserve">In late 2024, the Government published a white paper describing a national programme of devolution and reform to local government. It means that the way local councils in England are organised is being fundamentally changed for the first time in 50 years. The current timescale for change in Derby and Derbyshire is: </w:t>
      </w:r>
    </w:p>
    <w:p w14:paraId="25EC34A4" w14:textId="77777777" w:rsidR="00D219EF" w:rsidRPr="00183434" w:rsidRDefault="00D219EF" w:rsidP="00183434">
      <w:pPr>
        <w:pStyle w:val="ListParagraph"/>
        <w:numPr>
          <w:ilvl w:val="0"/>
          <w:numId w:val="58"/>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Summer 2026 - government decision on reorganisation proposals for LGR in Derby and Derbyshire </w:t>
      </w:r>
    </w:p>
    <w:p w14:paraId="71AC4341" w14:textId="77777777" w:rsidR="00D219EF" w:rsidRPr="00183434" w:rsidRDefault="00D219EF" w:rsidP="00183434">
      <w:pPr>
        <w:pStyle w:val="ListParagraph"/>
        <w:numPr>
          <w:ilvl w:val="0"/>
          <w:numId w:val="58"/>
        </w:numPr>
        <w:spacing w:after="0" w:line="240" w:lineRule="auto"/>
        <w:ind w:left="360"/>
        <w:contextualSpacing/>
        <w:jc w:val="both"/>
        <w:rPr>
          <w:rFonts w:ascii="Arial" w:hAnsi="Arial" w:cs="Arial"/>
          <w:sz w:val="23"/>
          <w:szCs w:val="23"/>
        </w:rPr>
      </w:pPr>
      <w:r w:rsidRPr="00183434">
        <w:rPr>
          <w:rFonts w:ascii="Arial" w:hAnsi="Arial" w:cs="Arial"/>
          <w:sz w:val="23"/>
          <w:szCs w:val="23"/>
        </w:rPr>
        <w:t>August to December 2026 - legislative change (known as the structural changes order)</w:t>
      </w:r>
    </w:p>
    <w:p w14:paraId="789D0B7C" w14:textId="77777777" w:rsidR="00D219EF" w:rsidRPr="00183434" w:rsidRDefault="00D219EF" w:rsidP="00183434">
      <w:pPr>
        <w:pStyle w:val="ListParagraph"/>
        <w:numPr>
          <w:ilvl w:val="0"/>
          <w:numId w:val="58"/>
        </w:numPr>
        <w:spacing w:after="0" w:line="240" w:lineRule="auto"/>
        <w:ind w:left="360"/>
        <w:contextualSpacing/>
        <w:jc w:val="both"/>
        <w:rPr>
          <w:rFonts w:ascii="Arial" w:hAnsi="Arial" w:cs="Arial"/>
          <w:sz w:val="23"/>
          <w:szCs w:val="23"/>
        </w:rPr>
      </w:pPr>
      <w:r w:rsidRPr="00183434">
        <w:rPr>
          <w:rFonts w:ascii="Arial" w:hAnsi="Arial" w:cs="Arial"/>
          <w:sz w:val="23"/>
          <w:szCs w:val="23"/>
        </w:rPr>
        <w:t>6 May 2027 - shadow elections</w:t>
      </w:r>
    </w:p>
    <w:p w14:paraId="3BCE87D0" w14:textId="77777777" w:rsidR="00D219EF" w:rsidRPr="00183434" w:rsidRDefault="00D219EF" w:rsidP="00183434">
      <w:pPr>
        <w:pStyle w:val="ListParagraph"/>
        <w:numPr>
          <w:ilvl w:val="0"/>
          <w:numId w:val="58"/>
        </w:numPr>
        <w:spacing w:after="0" w:line="240" w:lineRule="auto"/>
        <w:ind w:left="360"/>
        <w:contextualSpacing/>
        <w:jc w:val="both"/>
        <w:rPr>
          <w:rFonts w:ascii="Arial" w:hAnsi="Arial" w:cs="Arial"/>
          <w:sz w:val="23"/>
          <w:szCs w:val="23"/>
        </w:rPr>
      </w:pPr>
      <w:r w:rsidRPr="00183434">
        <w:rPr>
          <w:rFonts w:ascii="Arial" w:hAnsi="Arial" w:cs="Arial"/>
          <w:sz w:val="23"/>
          <w:szCs w:val="23"/>
        </w:rPr>
        <w:t xml:space="preserve">31 March 2028 – current authorities cease  </w:t>
      </w:r>
    </w:p>
    <w:p w14:paraId="7D3D0276" w14:textId="77777777" w:rsidR="00D219EF" w:rsidRPr="00183434" w:rsidRDefault="00D219EF" w:rsidP="00183434">
      <w:pPr>
        <w:pStyle w:val="ListParagraph"/>
        <w:numPr>
          <w:ilvl w:val="0"/>
          <w:numId w:val="58"/>
        </w:numPr>
        <w:spacing w:after="0" w:line="240" w:lineRule="auto"/>
        <w:ind w:left="360"/>
        <w:contextualSpacing/>
        <w:jc w:val="both"/>
        <w:rPr>
          <w:rFonts w:ascii="Arial" w:hAnsi="Arial" w:cs="Arial"/>
          <w:sz w:val="23"/>
          <w:szCs w:val="23"/>
        </w:rPr>
      </w:pPr>
      <w:r w:rsidRPr="00183434">
        <w:rPr>
          <w:rFonts w:ascii="Arial" w:hAnsi="Arial" w:cs="Arial"/>
          <w:sz w:val="23"/>
          <w:szCs w:val="23"/>
        </w:rPr>
        <w:t>1 April 2028 –new unitary authorities go live</w:t>
      </w:r>
    </w:p>
    <w:p w14:paraId="28946925" w14:textId="77777777" w:rsidR="00D219EF" w:rsidRPr="00183434" w:rsidRDefault="00D219EF" w:rsidP="00183434">
      <w:pPr>
        <w:jc w:val="both"/>
        <w:rPr>
          <w:rFonts w:cs="Arial"/>
          <w:sz w:val="23"/>
          <w:szCs w:val="23"/>
          <w:u w:val="single"/>
        </w:rPr>
      </w:pPr>
    </w:p>
    <w:p w14:paraId="60928914" w14:textId="77777777" w:rsidR="00D219EF" w:rsidRPr="00183434" w:rsidRDefault="00D219EF" w:rsidP="00183434">
      <w:pPr>
        <w:jc w:val="both"/>
        <w:rPr>
          <w:rFonts w:cs="Arial"/>
          <w:color w:val="0A0A0A"/>
          <w:sz w:val="23"/>
          <w:szCs w:val="23"/>
        </w:rPr>
      </w:pPr>
    </w:p>
    <w:p w14:paraId="70A1BFE5" w14:textId="77777777" w:rsidR="00D219EF" w:rsidRPr="00183434" w:rsidRDefault="00D219EF" w:rsidP="00183434">
      <w:pPr>
        <w:jc w:val="both"/>
        <w:rPr>
          <w:rFonts w:cs="Arial"/>
          <w:color w:val="0A0A0A"/>
          <w:sz w:val="23"/>
          <w:szCs w:val="23"/>
        </w:rPr>
      </w:pPr>
      <w:r w:rsidRPr="00183434">
        <w:rPr>
          <w:rFonts w:cs="Arial"/>
          <w:color w:val="0A0A0A"/>
          <w:sz w:val="23"/>
          <w:szCs w:val="23"/>
        </w:rPr>
        <w:t>Key governance implications of LGR include the creation of shadow authorities during transition, ensuring that Chesterfield Borough Council services, functions and responsibilities are maintained, LGR programme governance to ensure that new authorities are safe and legal and the need to manage historic liabilities.</w:t>
      </w:r>
    </w:p>
    <w:p w14:paraId="084BA928" w14:textId="77777777" w:rsidR="00D219EF" w:rsidRPr="00183434" w:rsidRDefault="00D219EF" w:rsidP="00183434">
      <w:pPr>
        <w:jc w:val="both"/>
        <w:rPr>
          <w:rFonts w:cs="Arial"/>
          <w:sz w:val="23"/>
          <w:szCs w:val="23"/>
        </w:rPr>
      </w:pPr>
    </w:p>
    <w:p w14:paraId="59A52BD6" w14:textId="77777777" w:rsidR="00D219EF" w:rsidRPr="00183434" w:rsidRDefault="00D219EF" w:rsidP="00183434">
      <w:pPr>
        <w:jc w:val="both"/>
        <w:rPr>
          <w:rFonts w:cs="Arial"/>
          <w:b/>
          <w:bCs/>
          <w:sz w:val="23"/>
          <w:szCs w:val="23"/>
        </w:rPr>
      </w:pPr>
      <w:r w:rsidRPr="00183434">
        <w:rPr>
          <w:rFonts w:cs="Arial"/>
          <w:b/>
          <w:bCs/>
          <w:sz w:val="23"/>
          <w:szCs w:val="23"/>
        </w:rPr>
        <w:t>Use of Artificial Intelligence (AI) in the authority’s Systems and Processes</w:t>
      </w:r>
    </w:p>
    <w:p w14:paraId="308F9572" w14:textId="77777777" w:rsidR="00D219EF" w:rsidRPr="00183434" w:rsidRDefault="00D219EF" w:rsidP="00183434">
      <w:pPr>
        <w:jc w:val="both"/>
        <w:rPr>
          <w:rFonts w:cs="Arial"/>
          <w:sz w:val="23"/>
          <w:szCs w:val="23"/>
          <w:u w:val="single"/>
        </w:rPr>
      </w:pPr>
    </w:p>
    <w:p w14:paraId="55F2B5E8" w14:textId="0F65150D" w:rsidR="005A55D2" w:rsidRPr="00183434" w:rsidRDefault="00D219EF" w:rsidP="00183434">
      <w:pPr>
        <w:jc w:val="both"/>
        <w:rPr>
          <w:rFonts w:cs="Arial"/>
          <w:sz w:val="23"/>
          <w:szCs w:val="23"/>
          <w:highlight w:val="cyan"/>
        </w:rPr>
      </w:pPr>
      <w:r w:rsidRPr="00183434">
        <w:rPr>
          <w:rFonts w:cs="Arial"/>
          <w:sz w:val="23"/>
          <w:szCs w:val="23"/>
        </w:rPr>
        <w:t>The increasing use of artificial intelligence presents both opportunities and risks to the Council. The Council has approved an AI policy aimed at ensuring</w:t>
      </w:r>
      <w:r w:rsidRPr="00183434">
        <w:rPr>
          <w:rFonts w:cs="Arial"/>
          <w:b/>
          <w:bCs/>
          <w:color w:val="383A42"/>
          <w:sz w:val="23"/>
          <w:szCs w:val="23"/>
          <w:shd w:val="clear" w:color="auto" w:fill="FFFFFF"/>
        </w:rPr>
        <w:t xml:space="preserve"> </w:t>
      </w:r>
      <w:r w:rsidRPr="00183434">
        <w:rPr>
          <w:rFonts w:cs="Arial"/>
          <w:sz w:val="23"/>
          <w:szCs w:val="23"/>
          <w:shd w:val="clear" w:color="auto" w:fill="FFFFFF"/>
        </w:rPr>
        <w:t>AI is used safely, ethically, and consistently across the organisation.</w:t>
      </w:r>
      <w:r w:rsidR="00596BE4" w:rsidRPr="00183434">
        <w:rPr>
          <w:rFonts w:cs="Arial"/>
          <w:sz w:val="23"/>
          <w:szCs w:val="23"/>
        </w:rPr>
        <w:br w:type="page"/>
      </w:r>
    </w:p>
    <w:p w14:paraId="5B396CC2" w14:textId="77777777" w:rsidR="00851782" w:rsidRPr="00183434" w:rsidRDefault="00851782" w:rsidP="00183434">
      <w:pPr>
        <w:pStyle w:val="Title"/>
        <w:jc w:val="both"/>
        <w:rPr>
          <w:rFonts w:cs="Arial"/>
          <w:bCs/>
          <w:sz w:val="23"/>
          <w:szCs w:val="23"/>
        </w:rPr>
      </w:pPr>
      <w:r w:rsidRPr="00183434">
        <w:rPr>
          <w:rFonts w:cs="Arial"/>
          <w:bCs/>
          <w:sz w:val="23"/>
          <w:szCs w:val="23"/>
        </w:rPr>
        <w:lastRenderedPageBreak/>
        <w:t>MOVEMENT IN RESERVES STATEMENT</w:t>
      </w:r>
    </w:p>
    <w:p w14:paraId="450E2265" w14:textId="77777777" w:rsidR="00851782" w:rsidRPr="00183434" w:rsidRDefault="00851782" w:rsidP="00183434">
      <w:pPr>
        <w:pStyle w:val="Title"/>
        <w:jc w:val="both"/>
        <w:rPr>
          <w:rFonts w:cs="Arial"/>
          <w:bCs/>
          <w:sz w:val="23"/>
          <w:szCs w:val="23"/>
        </w:rPr>
      </w:pPr>
    </w:p>
    <w:p w14:paraId="4A4A6750" w14:textId="77777777" w:rsidR="00386757" w:rsidRPr="00183434" w:rsidRDefault="00851782" w:rsidP="00183434">
      <w:pPr>
        <w:pStyle w:val="Title"/>
        <w:jc w:val="both"/>
        <w:rPr>
          <w:rFonts w:cs="Arial"/>
          <w:b w:val="0"/>
          <w:sz w:val="23"/>
          <w:szCs w:val="23"/>
          <w:u w:val="none"/>
        </w:rPr>
      </w:pPr>
      <w:r w:rsidRPr="00183434">
        <w:rPr>
          <w:rFonts w:cs="Arial"/>
          <w:b w:val="0"/>
          <w:sz w:val="23"/>
          <w:szCs w:val="23"/>
          <w:u w:val="none"/>
        </w:rPr>
        <w:t>T</w:t>
      </w:r>
      <w:r w:rsidR="00386757" w:rsidRPr="00183434">
        <w:rPr>
          <w:rFonts w:cs="Arial"/>
          <w:b w:val="0"/>
          <w:sz w:val="23"/>
          <w:szCs w:val="23"/>
          <w:u w:val="none"/>
        </w:rPr>
        <w:t xml:space="preserve">his Statement shows the movement </w:t>
      </w:r>
      <w:r w:rsidR="00C54E4B" w:rsidRPr="00183434">
        <w:rPr>
          <w:rFonts w:cs="Arial"/>
          <w:b w:val="0"/>
          <w:sz w:val="23"/>
          <w:szCs w:val="23"/>
          <w:u w:val="none"/>
        </w:rPr>
        <w:t xml:space="preserve">from the start of the year to the end </w:t>
      </w:r>
      <w:r w:rsidR="00386757" w:rsidRPr="00183434">
        <w:rPr>
          <w:rFonts w:cs="Arial"/>
          <w:b w:val="0"/>
          <w:sz w:val="23"/>
          <w:szCs w:val="23"/>
          <w:u w:val="none"/>
        </w:rPr>
        <w:t xml:space="preserve">on the different reserves held by the authority, analysed into ‘usable reserves’ (i.e. those that can be applied to fund expenditure or reduce local taxation) and other </w:t>
      </w:r>
      <w:r w:rsidR="00C54E4B" w:rsidRPr="00183434">
        <w:rPr>
          <w:rFonts w:cs="Arial"/>
          <w:b w:val="0"/>
          <w:sz w:val="23"/>
          <w:szCs w:val="23"/>
          <w:u w:val="none"/>
        </w:rPr>
        <w:t xml:space="preserve">‘unusable </w:t>
      </w:r>
      <w:proofErr w:type="gramStart"/>
      <w:r w:rsidR="00386757" w:rsidRPr="00183434">
        <w:rPr>
          <w:rFonts w:cs="Arial"/>
          <w:b w:val="0"/>
          <w:sz w:val="23"/>
          <w:szCs w:val="23"/>
          <w:u w:val="none"/>
        </w:rPr>
        <w:t>reserves</w:t>
      </w:r>
      <w:r w:rsidR="00C54E4B" w:rsidRPr="00183434">
        <w:rPr>
          <w:rFonts w:cs="Arial"/>
          <w:b w:val="0"/>
          <w:sz w:val="23"/>
          <w:szCs w:val="23"/>
          <w:u w:val="none"/>
        </w:rPr>
        <w:t>’</w:t>
      </w:r>
      <w:proofErr w:type="gramEnd"/>
      <w:r w:rsidR="00386757" w:rsidRPr="00183434">
        <w:rPr>
          <w:rFonts w:cs="Arial"/>
          <w:b w:val="0"/>
          <w:sz w:val="23"/>
          <w:szCs w:val="23"/>
          <w:u w:val="none"/>
        </w:rPr>
        <w:t xml:space="preserve">. </w:t>
      </w:r>
    </w:p>
    <w:p w14:paraId="236A541C" w14:textId="77777777" w:rsidR="00386757" w:rsidRPr="00183434" w:rsidRDefault="00386757" w:rsidP="00183434">
      <w:pPr>
        <w:pStyle w:val="Title"/>
        <w:jc w:val="both"/>
        <w:rPr>
          <w:rFonts w:cs="Arial"/>
          <w:b w:val="0"/>
          <w:sz w:val="23"/>
          <w:szCs w:val="23"/>
          <w:u w:val="none"/>
        </w:rPr>
      </w:pPr>
    </w:p>
    <w:p w14:paraId="41298D2A" w14:textId="77777777" w:rsidR="00A966AA" w:rsidRPr="00183434" w:rsidRDefault="00386757" w:rsidP="00183434">
      <w:pPr>
        <w:pStyle w:val="Title"/>
        <w:jc w:val="both"/>
        <w:rPr>
          <w:rFonts w:cs="Arial"/>
          <w:b w:val="0"/>
          <w:sz w:val="23"/>
          <w:szCs w:val="23"/>
          <w:u w:val="none"/>
        </w:rPr>
      </w:pPr>
      <w:r w:rsidRPr="00183434">
        <w:rPr>
          <w:rFonts w:cs="Arial"/>
          <w:b w:val="0"/>
          <w:sz w:val="23"/>
          <w:szCs w:val="23"/>
          <w:u w:val="none"/>
        </w:rPr>
        <w:t xml:space="preserve">The </w:t>
      </w:r>
      <w:r w:rsidR="00C54E4B" w:rsidRPr="00183434">
        <w:rPr>
          <w:rFonts w:cs="Arial"/>
          <w:b w:val="0"/>
          <w:sz w:val="23"/>
          <w:szCs w:val="23"/>
          <w:u w:val="none"/>
        </w:rPr>
        <w:t xml:space="preserve">Movement in Reserves Statement shows how the movements in year of the authority’s reserves are broken down between gains and losses incurred in accordance with generally accepted accounting practices and the statutory adjustments required to return to the </w:t>
      </w:r>
      <w:proofErr w:type="gramStart"/>
      <w:r w:rsidR="00C54E4B" w:rsidRPr="00183434">
        <w:rPr>
          <w:rFonts w:cs="Arial"/>
          <w:b w:val="0"/>
          <w:sz w:val="23"/>
          <w:szCs w:val="23"/>
          <w:u w:val="none"/>
        </w:rPr>
        <w:t>amounts</w:t>
      </w:r>
      <w:proofErr w:type="gramEnd"/>
      <w:r w:rsidR="00C54E4B" w:rsidRPr="00183434">
        <w:rPr>
          <w:rFonts w:cs="Arial"/>
          <w:b w:val="0"/>
          <w:sz w:val="23"/>
          <w:szCs w:val="23"/>
          <w:u w:val="none"/>
        </w:rPr>
        <w:t xml:space="preserve"> chargeable to council tax or rents for the year. </w:t>
      </w:r>
    </w:p>
    <w:p w14:paraId="721959AC" w14:textId="77777777" w:rsidR="00386757" w:rsidRPr="00183434" w:rsidRDefault="00386757" w:rsidP="00183434">
      <w:pPr>
        <w:pStyle w:val="Title"/>
        <w:jc w:val="both"/>
        <w:rPr>
          <w:rFonts w:cs="Arial"/>
          <w:b w:val="0"/>
          <w:sz w:val="23"/>
          <w:szCs w:val="23"/>
          <w:u w:val="none"/>
        </w:rPr>
      </w:pPr>
    </w:p>
    <w:p w14:paraId="51921E62" w14:textId="77777777" w:rsidR="00386757" w:rsidRPr="00183434" w:rsidRDefault="00386757" w:rsidP="00183434">
      <w:pPr>
        <w:pStyle w:val="Title"/>
        <w:jc w:val="both"/>
        <w:rPr>
          <w:rFonts w:cs="Arial"/>
          <w:b w:val="0"/>
          <w:sz w:val="23"/>
          <w:szCs w:val="23"/>
          <w:u w:val="none"/>
        </w:rPr>
      </w:pPr>
      <w:r w:rsidRPr="00183434">
        <w:rPr>
          <w:rFonts w:cs="Arial"/>
          <w:b w:val="0"/>
          <w:sz w:val="23"/>
          <w:szCs w:val="23"/>
          <w:u w:val="none"/>
        </w:rPr>
        <w:t>The ‘Net Increase/Decrease</w:t>
      </w:r>
      <w:r w:rsidR="00CA30E5" w:rsidRPr="00183434">
        <w:rPr>
          <w:rFonts w:cs="Arial"/>
          <w:b w:val="0"/>
          <w:sz w:val="23"/>
          <w:szCs w:val="23"/>
          <w:u w:val="none"/>
        </w:rPr>
        <w:t>’</w:t>
      </w:r>
      <w:r w:rsidRPr="00183434">
        <w:rPr>
          <w:rFonts w:cs="Arial"/>
          <w:b w:val="0"/>
          <w:sz w:val="23"/>
          <w:szCs w:val="23"/>
          <w:u w:val="none"/>
        </w:rPr>
        <w:t xml:space="preserve"> </w:t>
      </w:r>
      <w:r w:rsidR="00C54E4B" w:rsidRPr="00183434">
        <w:rPr>
          <w:rFonts w:cs="Arial"/>
          <w:b w:val="0"/>
          <w:sz w:val="23"/>
          <w:szCs w:val="23"/>
          <w:u w:val="none"/>
        </w:rPr>
        <w:t xml:space="preserve">line shows </w:t>
      </w:r>
      <w:r w:rsidRPr="00183434">
        <w:rPr>
          <w:rFonts w:cs="Arial"/>
          <w:b w:val="0"/>
          <w:sz w:val="23"/>
          <w:szCs w:val="23"/>
          <w:u w:val="none"/>
        </w:rPr>
        <w:t xml:space="preserve">the statutory General Fund Balance and Housing Revenue Account Balance </w:t>
      </w:r>
      <w:r w:rsidR="00C54E4B" w:rsidRPr="00183434">
        <w:rPr>
          <w:rFonts w:cs="Arial"/>
          <w:b w:val="0"/>
          <w:sz w:val="23"/>
          <w:szCs w:val="23"/>
          <w:u w:val="none"/>
        </w:rPr>
        <w:t>movements in the year following those adjustments</w:t>
      </w:r>
      <w:r w:rsidRPr="00183434">
        <w:rPr>
          <w:rFonts w:cs="Arial"/>
          <w:b w:val="0"/>
          <w:sz w:val="23"/>
          <w:szCs w:val="23"/>
          <w:u w:val="none"/>
        </w:rPr>
        <w:t>.</w:t>
      </w:r>
    </w:p>
    <w:p w14:paraId="6DA47C07" w14:textId="77777777" w:rsidR="00386757" w:rsidRPr="00183434" w:rsidRDefault="00386757" w:rsidP="00183434">
      <w:pPr>
        <w:pStyle w:val="Title"/>
        <w:jc w:val="both"/>
        <w:rPr>
          <w:rFonts w:cs="Arial"/>
          <w:sz w:val="23"/>
          <w:szCs w:val="23"/>
        </w:rPr>
      </w:pPr>
    </w:p>
    <w:p w14:paraId="5A36FDFF" w14:textId="77777777" w:rsidR="005C39F9" w:rsidRPr="00183434" w:rsidRDefault="005C39F9" w:rsidP="00183434">
      <w:pPr>
        <w:pStyle w:val="Title"/>
        <w:jc w:val="both"/>
        <w:rPr>
          <w:rFonts w:cs="Arial"/>
          <w:sz w:val="23"/>
          <w:szCs w:val="23"/>
        </w:rPr>
      </w:pPr>
    </w:p>
    <w:p w14:paraId="0ABAF762" w14:textId="77777777" w:rsidR="00386757" w:rsidRPr="00183434" w:rsidRDefault="00386757" w:rsidP="00183434">
      <w:pPr>
        <w:pStyle w:val="Title"/>
        <w:jc w:val="both"/>
        <w:rPr>
          <w:rFonts w:cs="Arial"/>
          <w:sz w:val="23"/>
          <w:szCs w:val="23"/>
        </w:rPr>
      </w:pPr>
    </w:p>
    <w:p w14:paraId="41B1129D" w14:textId="77777777" w:rsidR="00386757" w:rsidRPr="00183434" w:rsidRDefault="00EA0AFD" w:rsidP="00183434">
      <w:pPr>
        <w:pStyle w:val="Title"/>
        <w:ind w:left="2160" w:firstLine="720"/>
        <w:jc w:val="both"/>
        <w:rPr>
          <w:rFonts w:cs="Arial"/>
          <w:sz w:val="23"/>
          <w:szCs w:val="23"/>
        </w:rPr>
      </w:pPr>
      <w:r w:rsidRPr="00183434">
        <w:rPr>
          <w:rFonts w:cs="Arial"/>
          <w:sz w:val="23"/>
          <w:szCs w:val="23"/>
        </w:rPr>
        <w:t>MOVEMENT IN RESERVES STATEMENT</w:t>
      </w:r>
    </w:p>
    <w:p w14:paraId="684125A0" w14:textId="77777777" w:rsidR="00401441" w:rsidRPr="00183434" w:rsidRDefault="00401441" w:rsidP="00183434">
      <w:pPr>
        <w:pStyle w:val="Title"/>
        <w:ind w:left="2160" w:firstLine="720"/>
        <w:jc w:val="both"/>
        <w:rPr>
          <w:rFonts w:cs="Arial"/>
          <w:sz w:val="23"/>
          <w:szCs w:val="23"/>
        </w:rPr>
      </w:pPr>
    </w:p>
    <w:p w14:paraId="400F8AC9" w14:textId="77777777" w:rsidR="0090673D" w:rsidRPr="00183434" w:rsidRDefault="0090673D" w:rsidP="00183434">
      <w:pPr>
        <w:pStyle w:val="Title"/>
        <w:ind w:left="2160" w:firstLine="720"/>
        <w:jc w:val="both"/>
        <w:rPr>
          <w:rFonts w:cs="Arial"/>
          <w:sz w:val="23"/>
          <w:szCs w:val="23"/>
          <w:highlight w:val="cyan"/>
        </w:rPr>
      </w:pPr>
    </w:p>
    <w:p w14:paraId="3192061D" w14:textId="77777777" w:rsidR="0047534E" w:rsidRPr="00183434" w:rsidRDefault="0047534E" w:rsidP="00183434">
      <w:pPr>
        <w:pStyle w:val="Title"/>
        <w:ind w:left="2160" w:firstLine="720"/>
        <w:jc w:val="both"/>
        <w:rPr>
          <w:rFonts w:cs="Arial"/>
          <w:sz w:val="23"/>
          <w:szCs w:val="23"/>
        </w:rPr>
      </w:pPr>
    </w:p>
    <w:p w14:paraId="400282F8" w14:textId="67180992" w:rsidR="00386757" w:rsidRPr="00183434" w:rsidRDefault="00E93B35" w:rsidP="00183434">
      <w:pPr>
        <w:pStyle w:val="Title"/>
        <w:jc w:val="both"/>
        <w:rPr>
          <w:rFonts w:cs="Arial"/>
          <w:sz w:val="23"/>
          <w:szCs w:val="23"/>
          <w:highlight w:val="cyan"/>
        </w:rPr>
      </w:pPr>
      <w:r w:rsidRPr="00183434">
        <w:rPr>
          <w:rFonts w:cs="Arial"/>
          <w:sz w:val="23"/>
          <w:szCs w:val="23"/>
          <w:u w:val="none"/>
        </w:rPr>
        <w:object w:dxaOrig="13109" w:dyaOrig="9718" w14:anchorId="546B5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3pt;height:350.2pt" o:ole="">
            <v:imagedata r:id="rId17" o:title=""/>
          </v:shape>
          <o:OLEObject Type="Link" ProgID="Excel.Sheet.12" ShapeID="_x0000_i1026" DrawAspect="Content" r:id="rId18" UpdateMode="Always">
            <o:LinkType>EnhancedMetaFile</o:LinkType>
            <o:LockedField>false</o:LockedField>
            <o:FieldCodes>\* MERGEFORMAT</o:FieldCodes>
          </o:OLEObject>
        </w:object>
      </w:r>
    </w:p>
    <w:p w14:paraId="3B673192" w14:textId="77777777" w:rsidR="00386757" w:rsidRPr="00183434" w:rsidRDefault="00386757" w:rsidP="00183434">
      <w:pPr>
        <w:pStyle w:val="Title"/>
        <w:jc w:val="both"/>
        <w:rPr>
          <w:rFonts w:cs="Arial"/>
          <w:sz w:val="23"/>
          <w:szCs w:val="23"/>
          <w:highlight w:val="cyan"/>
        </w:rPr>
      </w:pPr>
    </w:p>
    <w:p w14:paraId="00E580D7" w14:textId="77777777" w:rsidR="00386757" w:rsidRPr="00183434" w:rsidRDefault="00386757" w:rsidP="00183434">
      <w:pPr>
        <w:pStyle w:val="Title"/>
        <w:jc w:val="both"/>
        <w:rPr>
          <w:rFonts w:cs="Arial"/>
          <w:sz w:val="23"/>
          <w:szCs w:val="23"/>
          <w:highlight w:val="cyan"/>
        </w:rPr>
      </w:pPr>
    </w:p>
    <w:p w14:paraId="7F8C6090" w14:textId="77777777" w:rsidR="00851782" w:rsidRPr="00183434" w:rsidRDefault="00851782" w:rsidP="00183434">
      <w:pPr>
        <w:pStyle w:val="Title"/>
        <w:jc w:val="both"/>
        <w:rPr>
          <w:rFonts w:cs="Arial"/>
          <w:sz w:val="23"/>
          <w:szCs w:val="23"/>
          <w:highlight w:val="cyan"/>
        </w:rPr>
      </w:pPr>
    </w:p>
    <w:p w14:paraId="50C410AA" w14:textId="77777777" w:rsidR="00765BDB" w:rsidRPr="00183434" w:rsidRDefault="00765BDB" w:rsidP="00183434">
      <w:pPr>
        <w:jc w:val="both"/>
        <w:rPr>
          <w:rFonts w:cs="Arial"/>
          <w:b/>
          <w:sz w:val="23"/>
          <w:szCs w:val="23"/>
          <w:highlight w:val="cyan"/>
          <w:u w:val="single"/>
        </w:rPr>
      </w:pPr>
      <w:r w:rsidRPr="00183434">
        <w:rPr>
          <w:rFonts w:cs="Arial"/>
          <w:sz w:val="23"/>
          <w:szCs w:val="23"/>
          <w:highlight w:val="cyan"/>
        </w:rPr>
        <w:br w:type="page"/>
      </w:r>
    </w:p>
    <w:p w14:paraId="4CB23BA8" w14:textId="187EBA76" w:rsidR="00386757" w:rsidRPr="00183434" w:rsidRDefault="00386757" w:rsidP="00183434">
      <w:pPr>
        <w:pStyle w:val="Title"/>
        <w:jc w:val="both"/>
        <w:rPr>
          <w:rFonts w:cs="Arial"/>
          <w:sz w:val="23"/>
          <w:szCs w:val="23"/>
        </w:rPr>
      </w:pPr>
      <w:r w:rsidRPr="00183434">
        <w:rPr>
          <w:rFonts w:cs="Arial"/>
          <w:sz w:val="23"/>
          <w:szCs w:val="23"/>
        </w:rPr>
        <w:lastRenderedPageBreak/>
        <w:t>COMPREHENSIVE INCOME &amp; EXPENDITURE STATEMENT</w:t>
      </w:r>
    </w:p>
    <w:p w14:paraId="6CA78827" w14:textId="77777777" w:rsidR="00386757" w:rsidRPr="00183434" w:rsidRDefault="00386757" w:rsidP="00183434">
      <w:pPr>
        <w:pStyle w:val="Title"/>
        <w:jc w:val="both"/>
        <w:rPr>
          <w:rFonts w:cs="Arial"/>
          <w:sz w:val="23"/>
          <w:szCs w:val="23"/>
        </w:rPr>
      </w:pPr>
    </w:p>
    <w:p w14:paraId="721F2997" w14:textId="77777777" w:rsidR="00386757" w:rsidRPr="00183434" w:rsidRDefault="00386757" w:rsidP="00183434">
      <w:pPr>
        <w:pStyle w:val="Title"/>
        <w:jc w:val="both"/>
        <w:rPr>
          <w:rFonts w:cs="Arial"/>
          <w:b w:val="0"/>
          <w:sz w:val="23"/>
          <w:szCs w:val="23"/>
          <w:u w:val="none"/>
        </w:rPr>
      </w:pPr>
    </w:p>
    <w:p w14:paraId="308B7593" w14:textId="77777777" w:rsidR="00386757" w:rsidRPr="00183434" w:rsidRDefault="00386757" w:rsidP="00183434">
      <w:pPr>
        <w:pStyle w:val="Title"/>
        <w:jc w:val="both"/>
        <w:rPr>
          <w:rFonts w:cs="Arial"/>
          <w:b w:val="0"/>
          <w:sz w:val="23"/>
          <w:szCs w:val="23"/>
          <w:u w:val="none"/>
        </w:rPr>
      </w:pPr>
      <w:r w:rsidRPr="00183434">
        <w:rPr>
          <w:rFonts w:cs="Arial"/>
          <w:b w:val="0"/>
          <w:sz w:val="23"/>
          <w:szCs w:val="23"/>
          <w:u w:val="none"/>
        </w:rPr>
        <w:t xml:space="preserve">This Statement shows the accounting cost in the year of providing services in accordance with generally accepted accounting practices, rather than the amount to be funded from taxation. Authorities raise taxation to cover expenditure in accordance with </w:t>
      </w:r>
      <w:r w:rsidR="00417447" w:rsidRPr="00183434">
        <w:rPr>
          <w:rFonts w:cs="Arial"/>
          <w:b w:val="0"/>
          <w:sz w:val="23"/>
          <w:szCs w:val="23"/>
          <w:u w:val="none"/>
        </w:rPr>
        <w:t>statutory requirements</w:t>
      </w:r>
      <w:r w:rsidRPr="00183434">
        <w:rPr>
          <w:rFonts w:cs="Arial"/>
          <w:b w:val="0"/>
          <w:sz w:val="23"/>
          <w:szCs w:val="23"/>
          <w:u w:val="none"/>
        </w:rPr>
        <w:t xml:space="preserve">; this may be different from the accounting cost. The taxation position is shown in </w:t>
      </w:r>
      <w:r w:rsidR="00DB7109" w:rsidRPr="00183434">
        <w:rPr>
          <w:rFonts w:cs="Arial"/>
          <w:b w:val="0"/>
          <w:sz w:val="23"/>
          <w:szCs w:val="23"/>
          <w:u w:val="none"/>
        </w:rPr>
        <w:t xml:space="preserve">both the Expenditure and Funding Analysis and </w:t>
      </w:r>
      <w:r w:rsidRPr="00183434">
        <w:rPr>
          <w:rFonts w:cs="Arial"/>
          <w:b w:val="0"/>
          <w:sz w:val="23"/>
          <w:szCs w:val="23"/>
          <w:u w:val="none"/>
        </w:rPr>
        <w:t>the Movement in Reserves Statement.</w:t>
      </w:r>
    </w:p>
    <w:p w14:paraId="712A5BA5" w14:textId="77777777" w:rsidR="00386757" w:rsidRPr="00183434" w:rsidRDefault="00386757" w:rsidP="00183434">
      <w:pPr>
        <w:pStyle w:val="Title"/>
        <w:jc w:val="both"/>
        <w:rPr>
          <w:rFonts w:cs="Arial"/>
          <w:sz w:val="23"/>
          <w:szCs w:val="23"/>
          <w:u w:val="none"/>
        </w:rPr>
      </w:pPr>
      <w:r w:rsidRPr="00183434">
        <w:rPr>
          <w:rFonts w:cs="Arial"/>
          <w:sz w:val="23"/>
          <w:szCs w:val="23"/>
          <w:u w:val="none"/>
        </w:rPr>
        <w:tab/>
      </w:r>
      <w:r w:rsidRPr="00183434">
        <w:rPr>
          <w:rFonts w:cs="Arial"/>
          <w:sz w:val="23"/>
          <w:szCs w:val="23"/>
          <w:u w:val="none"/>
        </w:rPr>
        <w:tab/>
      </w:r>
    </w:p>
    <w:p w14:paraId="010AC195" w14:textId="77777777" w:rsidR="00386757" w:rsidRPr="00183434" w:rsidRDefault="00386757" w:rsidP="00183434">
      <w:pPr>
        <w:pStyle w:val="Title"/>
        <w:jc w:val="both"/>
        <w:rPr>
          <w:rFonts w:cs="Arial"/>
          <w:b w:val="0"/>
          <w:sz w:val="23"/>
          <w:szCs w:val="23"/>
          <w:u w:val="none"/>
        </w:rPr>
      </w:pPr>
      <w:r w:rsidRPr="00183434">
        <w:rPr>
          <w:rFonts w:cs="Arial"/>
          <w:b w:val="0"/>
          <w:sz w:val="23"/>
          <w:szCs w:val="23"/>
          <w:u w:val="none"/>
        </w:rPr>
        <w:t>The Comprehensive Income &amp; Expenditure Statement brings together all the activities of the authority, summarises all the resources that the authority has consumed in providing those services and consolidates all the gains and losses experienced during the financial year.</w:t>
      </w:r>
    </w:p>
    <w:p w14:paraId="14B10F54" w14:textId="77777777" w:rsidR="00386757" w:rsidRPr="00183434" w:rsidRDefault="00386757" w:rsidP="00183434">
      <w:pPr>
        <w:pStyle w:val="Title"/>
        <w:jc w:val="both"/>
        <w:rPr>
          <w:rFonts w:cs="Arial"/>
          <w:b w:val="0"/>
          <w:sz w:val="23"/>
          <w:szCs w:val="23"/>
          <w:u w:val="none"/>
        </w:rPr>
      </w:pPr>
    </w:p>
    <w:p w14:paraId="67A5C4B5" w14:textId="77777777" w:rsidR="00386757" w:rsidRPr="00183434" w:rsidRDefault="00386757" w:rsidP="00183434">
      <w:pPr>
        <w:pStyle w:val="Title"/>
        <w:jc w:val="both"/>
        <w:rPr>
          <w:rFonts w:cs="Arial"/>
          <w:b w:val="0"/>
          <w:sz w:val="23"/>
          <w:szCs w:val="23"/>
          <w:u w:val="none"/>
        </w:rPr>
      </w:pPr>
      <w:r w:rsidRPr="00183434">
        <w:rPr>
          <w:rFonts w:cs="Arial"/>
          <w:b w:val="0"/>
          <w:sz w:val="23"/>
          <w:szCs w:val="23"/>
          <w:u w:val="none"/>
        </w:rPr>
        <w:t>The Statement has two sections.</w:t>
      </w:r>
    </w:p>
    <w:p w14:paraId="5D784C20" w14:textId="77777777" w:rsidR="00386757" w:rsidRPr="00183434" w:rsidRDefault="00386757" w:rsidP="00183434">
      <w:pPr>
        <w:pStyle w:val="Title"/>
        <w:jc w:val="both"/>
        <w:rPr>
          <w:rFonts w:cs="Arial"/>
          <w:b w:val="0"/>
          <w:sz w:val="23"/>
          <w:szCs w:val="23"/>
          <w:u w:val="none"/>
        </w:rPr>
      </w:pPr>
    </w:p>
    <w:p w14:paraId="6B0D4D3A" w14:textId="77777777" w:rsidR="00386757" w:rsidRPr="00183434" w:rsidRDefault="00386757" w:rsidP="00183434">
      <w:pPr>
        <w:pStyle w:val="Title"/>
        <w:jc w:val="both"/>
        <w:rPr>
          <w:rFonts w:cs="Arial"/>
          <w:b w:val="0"/>
          <w:sz w:val="23"/>
          <w:szCs w:val="23"/>
          <w:u w:val="none"/>
        </w:rPr>
      </w:pPr>
      <w:r w:rsidRPr="00183434">
        <w:rPr>
          <w:rFonts w:cs="Arial"/>
          <w:b w:val="0"/>
          <w:sz w:val="23"/>
          <w:szCs w:val="23"/>
          <w:u w:val="none"/>
        </w:rPr>
        <w:t xml:space="preserve">The first section provides information on the costs of local authority services, net of specific grants and income from fees and charges to give the ‘Surplus or Deficit on the Provision of Services’. This represents the increase or decrease in the net worth of the authority </w:t>
      </w:r>
      <w:proofErr w:type="gramStart"/>
      <w:r w:rsidRPr="00183434">
        <w:rPr>
          <w:rFonts w:cs="Arial"/>
          <w:b w:val="0"/>
          <w:sz w:val="23"/>
          <w:szCs w:val="23"/>
          <w:u w:val="none"/>
        </w:rPr>
        <w:t>as a result of</w:t>
      </w:r>
      <w:proofErr w:type="gramEnd"/>
      <w:r w:rsidRPr="00183434">
        <w:rPr>
          <w:rFonts w:cs="Arial"/>
          <w:b w:val="0"/>
          <w:sz w:val="23"/>
          <w:szCs w:val="23"/>
          <w:u w:val="none"/>
        </w:rPr>
        <w:t xml:space="preserve"> incurring expenses and generating income.</w:t>
      </w:r>
    </w:p>
    <w:p w14:paraId="78588F98" w14:textId="77777777" w:rsidR="00386757" w:rsidRPr="00183434" w:rsidRDefault="00386757" w:rsidP="00183434">
      <w:pPr>
        <w:pStyle w:val="Title"/>
        <w:jc w:val="both"/>
        <w:rPr>
          <w:rFonts w:cs="Arial"/>
          <w:b w:val="0"/>
          <w:sz w:val="23"/>
          <w:szCs w:val="23"/>
          <w:u w:val="none"/>
        </w:rPr>
      </w:pPr>
    </w:p>
    <w:p w14:paraId="7889BF37" w14:textId="77777777" w:rsidR="00386757" w:rsidRPr="00183434" w:rsidRDefault="00386757" w:rsidP="00183434">
      <w:pPr>
        <w:pStyle w:val="Title"/>
        <w:jc w:val="both"/>
        <w:rPr>
          <w:rFonts w:cs="Arial"/>
          <w:b w:val="0"/>
          <w:sz w:val="23"/>
          <w:szCs w:val="23"/>
          <w:u w:val="none"/>
        </w:rPr>
      </w:pPr>
      <w:r w:rsidRPr="00183434">
        <w:rPr>
          <w:rFonts w:cs="Arial"/>
          <w:b w:val="0"/>
          <w:sz w:val="23"/>
          <w:szCs w:val="23"/>
          <w:u w:val="none"/>
        </w:rPr>
        <w:t xml:space="preserve">The second section, ‘Other Comprehensive Income &amp; Expenditure’ shows any changes in net worth for any other reason: eg </w:t>
      </w:r>
      <w:proofErr w:type="gramStart"/>
      <w:r w:rsidRPr="00183434">
        <w:rPr>
          <w:rFonts w:cs="Arial"/>
          <w:b w:val="0"/>
          <w:sz w:val="23"/>
          <w:szCs w:val="23"/>
          <w:u w:val="none"/>
        </w:rPr>
        <w:t>as a result of</w:t>
      </w:r>
      <w:proofErr w:type="gramEnd"/>
      <w:r w:rsidRPr="00183434">
        <w:rPr>
          <w:rFonts w:cs="Arial"/>
          <w:b w:val="0"/>
          <w:sz w:val="23"/>
          <w:szCs w:val="23"/>
          <w:u w:val="none"/>
        </w:rPr>
        <w:t xml:space="preserve"> movements in the value of non-current assets or actuarial gains or losses on pension liabilities.</w:t>
      </w:r>
    </w:p>
    <w:p w14:paraId="57798AB4" w14:textId="77777777" w:rsidR="00F12721" w:rsidRPr="00183434" w:rsidRDefault="00F12721" w:rsidP="00183434">
      <w:pPr>
        <w:pStyle w:val="Title"/>
        <w:jc w:val="both"/>
        <w:rPr>
          <w:rFonts w:cs="Arial"/>
          <w:b w:val="0"/>
          <w:sz w:val="23"/>
          <w:szCs w:val="23"/>
          <w:highlight w:val="cyan"/>
          <w:u w:val="none"/>
        </w:rPr>
      </w:pPr>
    </w:p>
    <w:p w14:paraId="6CCB009E" w14:textId="77777777" w:rsidR="006D59D8" w:rsidRPr="00183434" w:rsidRDefault="006D59D8" w:rsidP="00183434">
      <w:pPr>
        <w:pStyle w:val="Title"/>
        <w:jc w:val="both"/>
        <w:rPr>
          <w:rFonts w:cs="Arial"/>
          <w:b w:val="0"/>
          <w:sz w:val="23"/>
          <w:szCs w:val="23"/>
          <w:highlight w:val="cyan"/>
          <w:u w:val="none"/>
        </w:rPr>
      </w:pPr>
    </w:p>
    <w:p w14:paraId="42E39673" w14:textId="77777777" w:rsidR="006D59D8" w:rsidRPr="00183434" w:rsidRDefault="006D59D8" w:rsidP="00183434">
      <w:pPr>
        <w:pStyle w:val="Title"/>
        <w:jc w:val="both"/>
        <w:rPr>
          <w:rFonts w:cs="Arial"/>
          <w:b w:val="0"/>
          <w:sz w:val="23"/>
          <w:szCs w:val="23"/>
          <w:highlight w:val="cyan"/>
          <w:u w:val="none"/>
        </w:rPr>
      </w:pPr>
    </w:p>
    <w:p w14:paraId="300F86BB" w14:textId="77777777" w:rsidR="00386757" w:rsidRPr="00183434" w:rsidRDefault="00386757" w:rsidP="00183434">
      <w:pPr>
        <w:pStyle w:val="Title"/>
        <w:jc w:val="both"/>
        <w:rPr>
          <w:rFonts w:cs="Arial"/>
          <w:b w:val="0"/>
          <w:sz w:val="23"/>
          <w:szCs w:val="23"/>
          <w:highlight w:val="cyan"/>
          <w:u w:val="none"/>
        </w:rPr>
      </w:pPr>
    </w:p>
    <w:p w14:paraId="5EB07C50" w14:textId="77777777" w:rsidR="00386757" w:rsidRPr="00183434" w:rsidRDefault="00386757" w:rsidP="00183434">
      <w:pPr>
        <w:pStyle w:val="Title"/>
        <w:jc w:val="both"/>
        <w:rPr>
          <w:rFonts w:cs="Arial"/>
          <w:b w:val="0"/>
          <w:sz w:val="23"/>
          <w:szCs w:val="23"/>
          <w:highlight w:val="cyan"/>
          <w:u w:val="none"/>
        </w:rPr>
      </w:pPr>
    </w:p>
    <w:p w14:paraId="339DF4BC" w14:textId="77777777" w:rsidR="00386757" w:rsidRPr="00183434" w:rsidRDefault="00386757" w:rsidP="00183434">
      <w:pPr>
        <w:pStyle w:val="Title"/>
        <w:jc w:val="both"/>
        <w:rPr>
          <w:rFonts w:cs="Arial"/>
          <w:b w:val="0"/>
          <w:sz w:val="23"/>
          <w:szCs w:val="23"/>
          <w:highlight w:val="cyan"/>
          <w:u w:val="none"/>
        </w:rPr>
      </w:pPr>
    </w:p>
    <w:p w14:paraId="4DC2AACF" w14:textId="77777777" w:rsidR="00386757" w:rsidRPr="00183434" w:rsidRDefault="00386757" w:rsidP="00183434">
      <w:pPr>
        <w:pStyle w:val="Title"/>
        <w:jc w:val="both"/>
        <w:rPr>
          <w:rFonts w:cs="Arial"/>
          <w:b w:val="0"/>
          <w:sz w:val="23"/>
          <w:szCs w:val="23"/>
          <w:highlight w:val="cyan"/>
          <w:u w:val="none"/>
        </w:rPr>
      </w:pPr>
    </w:p>
    <w:p w14:paraId="401FB139" w14:textId="77777777" w:rsidR="00386757" w:rsidRPr="00183434" w:rsidRDefault="00386757" w:rsidP="00183434">
      <w:pPr>
        <w:pStyle w:val="Title"/>
        <w:jc w:val="both"/>
        <w:rPr>
          <w:rFonts w:cs="Arial"/>
          <w:b w:val="0"/>
          <w:sz w:val="23"/>
          <w:szCs w:val="23"/>
          <w:highlight w:val="cyan"/>
          <w:u w:val="none"/>
        </w:rPr>
      </w:pPr>
    </w:p>
    <w:p w14:paraId="1ADEB25F" w14:textId="77777777" w:rsidR="00386757" w:rsidRPr="00183434" w:rsidRDefault="00386757" w:rsidP="00183434">
      <w:pPr>
        <w:pStyle w:val="Title"/>
        <w:jc w:val="both"/>
        <w:rPr>
          <w:rFonts w:cs="Arial"/>
          <w:b w:val="0"/>
          <w:sz w:val="23"/>
          <w:szCs w:val="23"/>
          <w:highlight w:val="cyan"/>
          <w:u w:val="none"/>
        </w:rPr>
      </w:pPr>
    </w:p>
    <w:p w14:paraId="6C6DB81B" w14:textId="77777777" w:rsidR="00386757" w:rsidRPr="00183434" w:rsidRDefault="00386757" w:rsidP="00183434">
      <w:pPr>
        <w:pStyle w:val="Title"/>
        <w:jc w:val="both"/>
        <w:rPr>
          <w:rFonts w:cs="Arial"/>
          <w:b w:val="0"/>
          <w:sz w:val="23"/>
          <w:szCs w:val="23"/>
          <w:highlight w:val="cyan"/>
          <w:u w:val="none"/>
        </w:rPr>
      </w:pPr>
    </w:p>
    <w:p w14:paraId="483CDC98" w14:textId="77777777" w:rsidR="00386757" w:rsidRPr="00183434" w:rsidRDefault="00386757" w:rsidP="00183434">
      <w:pPr>
        <w:pStyle w:val="Title"/>
        <w:jc w:val="both"/>
        <w:rPr>
          <w:rFonts w:cs="Arial"/>
          <w:b w:val="0"/>
          <w:sz w:val="23"/>
          <w:szCs w:val="23"/>
          <w:highlight w:val="cyan"/>
          <w:u w:val="none"/>
        </w:rPr>
      </w:pPr>
    </w:p>
    <w:p w14:paraId="61E78590" w14:textId="77777777" w:rsidR="00386757" w:rsidRPr="00183434" w:rsidRDefault="00386757" w:rsidP="00183434">
      <w:pPr>
        <w:pStyle w:val="Title"/>
        <w:jc w:val="both"/>
        <w:rPr>
          <w:rFonts w:cs="Arial"/>
          <w:b w:val="0"/>
          <w:sz w:val="23"/>
          <w:szCs w:val="23"/>
          <w:highlight w:val="cyan"/>
          <w:u w:val="none"/>
        </w:rPr>
      </w:pPr>
    </w:p>
    <w:p w14:paraId="09FBD70F" w14:textId="77777777" w:rsidR="00386757" w:rsidRPr="00183434" w:rsidRDefault="00386757" w:rsidP="00183434">
      <w:pPr>
        <w:pStyle w:val="Title"/>
        <w:jc w:val="both"/>
        <w:rPr>
          <w:rFonts w:cs="Arial"/>
          <w:b w:val="0"/>
          <w:sz w:val="23"/>
          <w:szCs w:val="23"/>
          <w:highlight w:val="cyan"/>
          <w:u w:val="none"/>
        </w:rPr>
      </w:pPr>
    </w:p>
    <w:p w14:paraId="1D760396" w14:textId="77777777" w:rsidR="00386757" w:rsidRPr="00183434" w:rsidRDefault="00386757" w:rsidP="00183434">
      <w:pPr>
        <w:pStyle w:val="Title"/>
        <w:jc w:val="both"/>
        <w:rPr>
          <w:rFonts w:cs="Arial"/>
          <w:b w:val="0"/>
          <w:sz w:val="23"/>
          <w:szCs w:val="23"/>
          <w:highlight w:val="cyan"/>
          <w:u w:val="none"/>
        </w:rPr>
      </w:pPr>
    </w:p>
    <w:p w14:paraId="5374609E" w14:textId="77777777" w:rsidR="00386757" w:rsidRPr="00183434" w:rsidRDefault="00386757" w:rsidP="00183434">
      <w:pPr>
        <w:pStyle w:val="Title"/>
        <w:jc w:val="both"/>
        <w:rPr>
          <w:rFonts w:cs="Arial"/>
          <w:b w:val="0"/>
          <w:sz w:val="23"/>
          <w:szCs w:val="23"/>
          <w:highlight w:val="cyan"/>
          <w:u w:val="none"/>
        </w:rPr>
      </w:pPr>
    </w:p>
    <w:p w14:paraId="32AB600C" w14:textId="77777777" w:rsidR="00386757" w:rsidRPr="00183434" w:rsidRDefault="00386757" w:rsidP="00183434">
      <w:pPr>
        <w:pStyle w:val="Title"/>
        <w:jc w:val="both"/>
        <w:rPr>
          <w:rFonts w:cs="Arial"/>
          <w:b w:val="0"/>
          <w:sz w:val="23"/>
          <w:szCs w:val="23"/>
          <w:highlight w:val="cyan"/>
          <w:u w:val="none"/>
        </w:rPr>
      </w:pPr>
    </w:p>
    <w:p w14:paraId="73906D3F" w14:textId="77777777" w:rsidR="00386757" w:rsidRPr="00183434" w:rsidRDefault="00386757" w:rsidP="00183434">
      <w:pPr>
        <w:pStyle w:val="Title"/>
        <w:jc w:val="both"/>
        <w:rPr>
          <w:rFonts w:cs="Arial"/>
          <w:b w:val="0"/>
          <w:sz w:val="23"/>
          <w:szCs w:val="23"/>
          <w:highlight w:val="cyan"/>
          <w:u w:val="none"/>
        </w:rPr>
      </w:pPr>
    </w:p>
    <w:p w14:paraId="06BBEF45" w14:textId="77777777" w:rsidR="00386757" w:rsidRPr="00183434" w:rsidRDefault="00386757" w:rsidP="00183434">
      <w:pPr>
        <w:pStyle w:val="Title"/>
        <w:jc w:val="both"/>
        <w:rPr>
          <w:rFonts w:cs="Arial"/>
          <w:b w:val="0"/>
          <w:sz w:val="23"/>
          <w:szCs w:val="23"/>
          <w:highlight w:val="cyan"/>
          <w:u w:val="none"/>
        </w:rPr>
      </w:pPr>
    </w:p>
    <w:p w14:paraId="72D6D466" w14:textId="77777777" w:rsidR="00160660" w:rsidRPr="00183434" w:rsidRDefault="00160660" w:rsidP="00183434">
      <w:pPr>
        <w:pStyle w:val="Title"/>
        <w:jc w:val="both"/>
        <w:rPr>
          <w:rFonts w:cs="Arial"/>
          <w:b w:val="0"/>
          <w:sz w:val="23"/>
          <w:szCs w:val="23"/>
          <w:highlight w:val="cyan"/>
          <w:u w:val="none"/>
        </w:rPr>
      </w:pPr>
    </w:p>
    <w:p w14:paraId="369F3EF2" w14:textId="77777777" w:rsidR="00386757" w:rsidRPr="00183434" w:rsidRDefault="00386757" w:rsidP="00183434">
      <w:pPr>
        <w:pStyle w:val="Title"/>
        <w:jc w:val="both"/>
        <w:rPr>
          <w:rFonts w:cs="Arial"/>
          <w:b w:val="0"/>
          <w:sz w:val="23"/>
          <w:szCs w:val="23"/>
          <w:highlight w:val="cyan"/>
          <w:u w:val="none"/>
        </w:rPr>
      </w:pPr>
    </w:p>
    <w:p w14:paraId="163EA75A" w14:textId="77777777" w:rsidR="00386757" w:rsidRPr="00183434" w:rsidRDefault="00386757" w:rsidP="00183434">
      <w:pPr>
        <w:pStyle w:val="Title"/>
        <w:jc w:val="both"/>
        <w:rPr>
          <w:rFonts w:cs="Arial"/>
          <w:b w:val="0"/>
          <w:sz w:val="23"/>
          <w:szCs w:val="23"/>
          <w:highlight w:val="cyan"/>
          <w:u w:val="none"/>
        </w:rPr>
      </w:pPr>
    </w:p>
    <w:p w14:paraId="7CA6EE93" w14:textId="77777777" w:rsidR="00B94AB2" w:rsidRPr="00183434" w:rsidRDefault="00B94AB2" w:rsidP="00183434">
      <w:pPr>
        <w:pStyle w:val="Title"/>
        <w:jc w:val="both"/>
        <w:rPr>
          <w:rFonts w:cs="Arial"/>
          <w:b w:val="0"/>
          <w:sz w:val="23"/>
          <w:szCs w:val="23"/>
          <w:highlight w:val="cyan"/>
          <w:u w:val="none"/>
        </w:rPr>
      </w:pPr>
    </w:p>
    <w:p w14:paraId="2B1B772A" w14:textId="77777777" w:rsidR="00B94AB2" w:rsidRPr="00183434" w:rsidRDefault="00B94AB2" w:rsidP="00183434">
      <w:pPr>
        <w:pStyle w:val="Title"/>
        <w:jc w:val="both"/>
        <w:rPr>
          <w:rFonts w:cs="Arial"/>
          <w:b w:val="0"/>
          <w:sz w:val="23"/>
          <w:szCs w:val="23"/>
          <w:highlight w:val="cyan"/>
          <w:u w:val="none"/>
        </w:rPr>
      </w:pPr>
    </w:p>
    <w:p w14:paraId="57B7402D" w14:textId="77777777" w:rsidR="00B94AB2" w:rsidRPr="00183434" w:rsidRDefault="00B94AB2" w:rsidP="00183434">
      <w:pPr>
        <w:pStyle w:val="Title"/>
        <w:jc w:val="both"/>
        <w:rPr>
          <w:rFonts w:cs="Arial"/>
          <w:b w:val="0"/>
          <w:sz w:val="23"/>
          <w:szCs w:val="23"/>
          <w:highlight w:val="cyan"/>
          <w:u w:val="none"/>
        </w:rPr>
      </w:pPr>
    </w:p>
    <w:p w14:paraId="2C25E7D9" w14:textId="77777777" w:rsidR="00B94AB2" w:rsidRPr="00183434" w:rsidRDefault="00B94AB2" w:rsidP="00183434">
      <w:pPr>
        <w:pStyle w:val="Title"/>
        <w:jc w:val="both"/>
        <w:rPr>
          <w:rFonts w:cs="Arial"/>
          <w:b w:val="0"/>
          <w:sz w:val="23"/>
          <w:szCs w:val="23"/>
          <w:highlight w:val="cyan"/>
          <w:u w:val="none"/>
        </w:rPr>
      </w:pPr>
    </w:p>
    <w:p w14:paraId="453C4015" w14:textId="77777777" w:rsidR="003A0B8A" w:rsidRPr="00183434" w:rsidRDefault="003A0B8A" w:rsidP="00183434">
      <w:pPr>
        <w:pStyle w:val="Title"/>
        <w:jc w:val="both"/>
        <w:rPr>
          <w:rFonts w:cs="Arial"/>
          <w:b w:val="0"/>
          <w:sz w:val="23"/>
          <w:szCs w:val="23"/>
          <w:highlight w:val="cyan"/>
          <w:u w:val="none"/>
        </w:rPr>
      </w:pPr>
    </w:p>
    <w:p w14:paraId="33732DB6" w14:textId="77777777" w:rsidR="00386757" w:rsidRPr="00183434" w:rsidRDefault="00386757" w:rsidP="00183434">
      <w:pPr>
        <w:pStyle w:val="Title"/>
        <w:jc w:val="both"/>
        <w:rPr>
          <w:rFonts w:cs="Arial"/>
          <w:b w:val="0"/>
          <w:sz w:val="23"/>
          <w:szCs w:val="23"/>
          <w:highlight w:val="cyan"/>
          <w:u w:val="none"/>
        </w:rPr>
      </w:pPr>
    </w:p>
    <w:p w14:paraId="64AD6EEA" w14:textId="77777777" w:rsidR="007A5FC5" w:rsidRPr="00183434" w:rsidRDefault="007A5FC5" w:rsidP="00183434">
      <w:pPr>
        <w:pStyle w:val="Title"/>
        <w:jc w:val="both"/>
        <w:rPr>
          <w:rFonts w:cs="Arial"/>
          <w:sz w:val="23"/>
          <w:szCs w:val="23"/>
          <w:highlight w:val="cyan"/>
        </w:rPr>
      </w:pPr>
    </w:p>
    <w:p w14:paraId="4324FBA2" w14:textId="77777777" w:rsidR="00183434" w:rsidRDefault="00183434">
      <w:pPr>
        <w:rPr>
          <w:rFonts w:cs="Arial"/>
          <w:b/>
          <w:sz w:val="23"/>
          <w:szCs w:val="23"/>
          <w:u w:val="single"/>
        </w:rPr>
      </w:pPr>
      <w:r>
        <w:rPr>
          <w:rFonts w:cs="Arial"/>
          <w:sz w:val="23"/>
          <w:szCs w:val="23"/>
        </w:rPr>
        <w:br w:type="page"/>
      </w:r>
    </w:p>
    <w:p w14:paraId="6C84F201" w14:textId="5E60D053" w:rsidR="00386757" w:rsidRPr="00183434" w:rsidRDefault="00386757" w:rsidP="00183434">
      <w:pPr>
        <w:pStyle w:val="Title"/>
        <w:jc w:val="both"/>
        <w:rPr>
          <w:rFonts w:cs="Arial"/>
          <w:sz w:val="23"/>
          <w:szCs w:val="23"/>
        </w:rPr>
      </w:pPr>
      <w:r w:rsidRPr="00183434">
        <w:rPr>
          <w:rFonts w:cs="Arial"/>
          <w:sz w:val="23"/>
          <w:szCs w:val="23"/>
        </w:rPr>
        <w:lastRenderedPageBreak/>
        <w:t>COMPREHENSIVE INCOME &amp; EXPENDITURE STATEMENT</w:t>
      </w:r>
    </w:p>
    <w:p w14:paraId="480D054A" w14:textId="4829A326" w:rsidR="00386757" w:rsidRPr="00183434" w:rsidRDefault="00386757" w:rsidP="00183434">
      <w:pPr>
        <w:ind w:left="-426"/>
        <w:jc w:val="both"/>
        <w:rPr>
          <w:rFonts w:cs="Arial"/>
          <w:b/>
          <w:sz w:val="23"/>
          <w:szCs w:val="23"/>
        </w:rPr>
      </w:pPr>
    </w:p>
    <w:p w14:paraId="3690C625" w14:textId="488733EE" w:rsidR="009B4B02" w:rsidRPr="00183434" w:rsidRDefault="00A61A6A" w:rsidP="00183434">
      <w:pPr>
        <w:ind w:left="-426" w:firstLine="426"/>
        <w:jc w:val="both"/>
        <w:rPr>
          <w:rFonts w:cs="Arial"/>
          <w:b/>
          <w:sz w:val="23"/>
          <w:szCs w:val="23"/>
          <w:highlight w:val="cyan"/>
        </w:rPr>
      </w:pPr>
      <w:r w:rsidRPr="00183434">
        <w:rPr>
          <w:rFonts w:cs="Arial"/>
          <w:b/>
          <w:sz w:val="23"/>
          <w:szCs w:val="23"/>
        </w:rPr>
        <w:object w:dxaOrig="10750" w:dyaOrig="13090" w14:anchorId="016CA510">
          <v:shape id="_x0000_i1027" type="#_x0000_t75" style="width:487.3pt;height:639.35pt" o:ole="">
            <v:imagedata r:id="rId19" o:title=""/>
          </v:shape>
          <o:OLEObject Type="Link" ProgID="Excel.Sheet.12" ShapeID="_x0000_i1027" DrawAspect="Content" r:id="rId20" UpdateMode="Always">
            <o:LinkType>EnhancedMetaFile</o:LinkType>
            <o:LockedField>false</o:LockedField>
            <o:FieldCodes>\* MERGEFORMAT</o:FieldCodes>
          </o:OLEObject>
        </w:object>
      </w:r>
    </w:p>
    <w:p w14:paraId="6B0E403F" w14:textId="77777777" w:rsidR="00A81230" w:rsidRPr="00183434" w:rsidRDefault="00A81230" w:rsidP="00183434">
      <w:pPr>
        <w:ind w:left="-426"/>
        <w:jc w:val="both"/>
        <w:rPr>
          <w:rFonts w:cs="Arial"/>
          <w:b/>
          <w:sz w:val="23"/>
          <w:szCs w:val="23"/>
          <w:highlight w:val="cyan"/>
        </w:rPr>
      </w:pPr>
    </w:p>
    <w:p w14:paraId="1CC3A3AE" w14:textId="77777777" w:rsidR="00293A38" w:rsidRPr="00183434" w:rsidRDefault="00293A38" w:rsidP="00183434">
      <w:pPr>
        <w:ind w:left="-426"/>
        <w:jc w:val="both"/>
        <w:rPr>
          <w:rFonts w:cs="Arial"/>
          <w:b/>
          <w:sz w:val="23"/>
          <w:szCs w:val="23"/>
          <w:highlight w:val="cyan"/>
          <w:u w:val="single"/>
        </w:rPr>
      </w:pPr>
    </w:p>
    <w:p w14:paraId="186B082E" w14:textId="77777777" w:rsidR="00386757" w:rsidRPr="00183434" w:rsidRDefault="00386757" w:rsidP="00183434">
      <w:pPr>
        <w:ind w:left="-426"/>
        <w:jc w:val="both"/>
        <w:rPr>
          <w:rFonts w:cs="Arial"/>
          <w:b/>
          <w:sz w:val="23"/>
          <w:szCs w:val="23"/>
          <w:u w:val="single"/>
        </w:rPr>
      </w:pPr>
      <w:r w:rsidRPr="00183434">
        <w:rPr>
          <w:rFonts w:cs="Arial"/>
          <w:b/>
          <w:sz w:val="23"/>
          <w:szCs w:val="23"/>
          <w:highlight w:val="cyan"/>
          <w:u w:val="single"/>
        </w:rPr>
        <w:br w:type="page"/>
      </w:r>
      <w:r w:rsidRPr="00183434">
        <w:rPr>
          <w:rFonts w:cs="Arial"/>
          <w:b/>
          <w:sz w:val="23"/>
          <w:szCs w:val="23"/>
          <w:u w:val="single"/>
        </w:rPr>
        <w:lastRenderedPageBreak/>
        <w:t>BALANCE SHEET</w:t>
      </w:r>
    </w:p>
    <w:p w14:paraId="5D258881" w14:textId="77777777" w:rsidR="00386757" w:rsidRPr="00183434" w:rsidRDefault="00386757" w:rsidP="00183434">
      <w:pPr>
        <w:jc w:val="both"/>
        <w:rPr>
          <w:rFonts w:cs="Arial"/>
          <w:sz w:val="23"/>
          <w:szCs w:val="23"/>
        </w:rPr>
      </w:pPr>
    </w:p>
    <w:p w14:paraId="03F294C2" w14:textId="77777777" w:rsidR="00386757" w:rsidRPr="00183434" w:rsidRDefault="00386757" w:rsidP="00183434">
      <w:pPr>
        <w:jc w:val="both"/>
        <w:rPr>
          <w:rFonts w:cs="Arial"/>
          <w:sz w:val="23"/>
          <w:szCs w:val="23"/>
        </w:rPr>
      </w:pPr>
      <w:r w:rsidRPr="00183434">
        <w:rPr>
          <w:rFonts w:cs="Arial"/>
          <w:sz w:val="23"/>
          <w:szCs w:val="23"/>
        </w:rPr>
        <w:t>The Balance Sheet shows the value as at the Balance Sheet date of the asset</w:t>
      </w:r>
      <w:r w:rsidR="00441BE2" w:rsidRPr="00183434">
        <w:rPr>
          <w:rFonts w:cs="Arial"/>
          <w:sz w:val="23"/>
          <w:szCs w:val="23"/>
        </w:rPr>
        <w:t>s</w:t>
      </w:r>
      <w:r w:rsidRPr="00183434">
        <w:rPr>
          <w:rFonts w:cs="Arial"/>
          <w:sz w:val="23"/>
          <w:szCs w:val="23"/>
        </w:rPr>
        <w:t xml:space="preserve"> and liabilities recognised by the authority. The net assets of the authority (assets less liabilities) are matched by reserves held by the authority. Reserves are reported in two categories.</w:t>
      </w:r>
    </w:p>
    <w:p w14:paraId="0C418C6E" w14:textId="77777777" w:rsidR="00386757" w:rsidRPr="00183434" w:rsidRDefault="00386757" w:rsidP="00183434">
      <w:pPr>
        <w:jc w:val="both"/>
        <w:rPr>
          <w:rFonts w:cs="Arial"/>
          <w:sz w:val="23"/>
          <w:szCs w:val="23"/>
        </w:rPr>
      </w:pPr>
    </w:p>
    <w:p w14:paraId="49B5030B" w14:textId="77777777" w:rsidR="00386757" w:rsidRPr="00183434" w:rsidRDefault="00386757" w:rsidP="00183434">
      <w:pPr>
        <w:jc w:val="both"/>
        <w:rPr>
          <w:rFonts w:cs="Arial"/>
          <w:sz w:val="23"/>
          <w:szCs w:val="23"/>
        </w:rPr>
      </w:pPr>
      <w:r w:rsidRPr="00183434">
        <w:rPr>
          <w:rFonts w:cs="Arial"/>
          <w:sz w:val="23"/>
          <w:szCs w:val="23"/>
        </w:rPr>
        <w:t xml:space="preserve">The first category of reserves are usable reserves, i.e. those reserves that the authority may use to provide services, subject to the need to maintain a prudent level of reserves and any statutory limitations on their use (e.g. the capital receipts reserve that may only be used to fund capital expenditure or repay debt). </w:t>
      </w:r>
    </w:p>
    <w:p w14:paraId="4042A7D8" w14:textId="77777777" w:rsidR="00386757" w:rsidRPr="00183434" w:rsidRDefault="00386757" w:rsidP="00183434">
      <w:pPr>
        <w:jc w:val="both"/>
        <w:rPr>
          <w:rFonts w:cs="Arial"/>
          <w:sz w:val="23"/>
          <w:szCs w:val="23"/>
        </w:rPr>
      </w:pPr>
    </w:p>
    <w:p w14:paraId="582DE40E" w14:textId="77777777" w:rsidR="00386757" w:rsidRPr="00183434" w:rsidRDefault="00386757" w:rsidP="00183434">
      <w:pPr>
        <w:jc w:val="both"/>
        <w:rPr>
          <w:rFonts w:cs="Arial"/>
          <w:sz w:val="23"/>
          <w:szCs w:val="23"/>
        </w:rPr>
      </w:pPr>
      <w:r w:rsidRPr="00183434">
        <w:rPr>
          <w:rFonts w:cs="Arial"/>
          <w:sz w:val="23"/>
          <w:szCs w:val="23"/>
        </w:rPr>
        <w:t>The second category o</w:t>
      </w:r>
      <w:r w:rsidR="005C39F9" w:rsidRPr="00183434">
        <w:rPr>
          <w:rFonts w:cs="Arial"/>
          <w:sz w:val="23"/>
          <w:szCs w:val="23"/>
        </w:rPr>
        <w:t>f reserves is</w:t>
      </w:r>
      <w:r w:rsidRPr="00183434">
        <w:rPr>
          <w:rFonts w:cs="Arial"/>
          <w:sz w:val="23"/>
          <w:szCs w:val="23"/>
        </w:rPr>
        <w:t xml:space="preserve"> those that the authority </w:t>
      </w:r>
      <w:proofErr w:type="gramStart"/>
      <w:r w:rsidRPr="00183434">
        <w:rPr>
          <w:rFonts w:cs="Arial"/>
          <w:sz w:val="23"/>
          <w:szCs w:val="23"/>
        </w:rPr>
        <w:t>is not able to</w:t>
      </w:r>
      <w:proofErr w:type="gramEnd"/>
      <w:r w:rsidRPr="00183434">
        <w:rPr>
          <w:rFonts w:cs="Arial"/>
          <w:sz w:val="23"/>
          <w:szCs w:val="23"/>
        </w:rPr>
        <w:t xml:space="preserve"> use to provide services. This category of reserves includes reserves that hold unrealised gains and losses (e.g. the revaluation reserve), where amounts would only become available to provide services if the assets are sold; and reserves that hold timing differences shown in the Movement in Reserves Statement line ‘Adjustments between accounting basis and funding basis under </w:t>
      </w:r>
      <w:proofErr w:type="gramStart"/>
      <w:r w:rsidRPr="00183434">
        <w:rPr>
          <w:rFonts w:cs="Arial"/>
          <w:sz w:val="23"/>
          <w:szCs w:val="23"/>
        </w:rPr>
        <w:t>regulations’</w:t>
      </w:r>
      <w:proofErr w:type="gramEnd"/>
      <w:r w:rsidRPr="00183434">
        <w:rPr>
          <w:rFonts w:cs="Arial"/>
          <w:sz w:val="23"/>
          <w:szCs w:val="23"/>
        </w:rPr>
        <w:t>.</w:t>
      </w:r>
    </w:p>
    <w:p w14:paraId="73FEF57C" w14:textId="77777777" w:rsidR="00183434" w:rsidRDefault="00183434" w:rsidP="00183434">
      <w:pPr>
        <w:ind w:left="1440" w:firstLine="720"/>
        <w:jc w:val="both"/>
        <w:rPr>
          <w:rFonts w:cs="Arial"/>
          <w:b/>
          <w:sz w:val="23"/>
          <w:szCs w:val="23"/>
          <w:u w:val="single"/>
        </w:rPr>
      </w:pPr>
    </w:p>
    <w:p w14:paraId="1795ABE1" w14:textId="77777777" w:rsidR="00183434" w:rsidRDefault="00183434">
      <w:pPr>
        <w:rPr>
          <w:rFonts w:cs="Arial"/>
          <w:b/>
          <w:sz w:val="23"/>
          <w:szCs w:val="23"/>
          <w:u w:val="single"/>
        </w:rPr>
      </w:pPr>
      <w:r>
        <w:rPr>
          <w:rFonts w:cs="Arial"/>
          <w:b/>
          <w:sz w:val="23"/>
          <w:szCs w:val="23"/>
          <w:u w:val="single"/>
        </w:rPr>
        <w:br w:type="page"/>
      </w:r>
    </w:p>
    <w:p w14:paraId="26B32A7F" w14:textId="42B43D04" w:rsidR="00386757" w:rsidRPr="00183434" w:rsidRDefault="00386757" w:rsidP="00183434">
      <w:pPr>
        <w:ind w:left="1440" w:firstLine="720"/>
        <w:jc w:val="both"/>
        <w:rPr>
          <w:rFonts w:cs="Arial"/>
          <w:b/>
          <w:sz w:val="23"/>
          <w:szCs w:val="23"/>
          <w:u w:val="single"/>
        </w:rPr>
      </w:pPr>
      <w:r w:rsidRPr="00183434">
        <w:rPr>
          <w:rFonts w:cs="Arial"/>
          <w:b/>
          <w:sz w:val="23"/>
          <w:szCs w:val="23"/>
          <w:u w:val="single"/>
        </w:rPr>
        <w:lastRenderedPageBreak/>
        <w:t>BAL</w:t>
      </w:r>
      <w:r w:rsidR="00547866" w:rsidRPr="00183434">
        <w:rPr>
          <w:rFonts w:cs="Arial"/>
          <w:b/>
          <w:sz w:val="23"/>
          <w:szCs w:val="23"/>
          <w:u w:val="single"/>
        </w:rPr>
        <w:t>ANCE SHEET AS AT 31ST MARCH 20</w:t>
      </w:r>
      <w:r w:rsidR="009F0052" w:rsidRPr="00183434">
        <w:rPr>
          <w:rFonts w:cs="Arial"/>
          <w:b/>
          <w:sz w:val="23"/>
          <w:szCs w:val="23"/>
          <w:u w:val="single"/>
        </w:rPr>
        <w:t>2</w:t>
      </w:r>
      <w:r w:rsidR="00320C57" w:rsidRPr="00183434">
        <w:rPr>
          <w:rFonts w:cs="Arial"/>
          <w:b/>
          <w:sz w:val="23"/>
          <w:szCs w:val="23"/>
          <w:u w:val="single"/>
        </w:rPr>
        <w:t>6</w:t>
      </w:r>
    </w:p>
    <w:p w14:paraId="427209D3" w14:textId="77777777" w:rsidR="002A5629" w:rsidRPr="00183434" w:rsidRDefault="002A5629" w:rsidP="00183434">
      <w:pPr>
        <w:ind w:left="1440" w:firstLine="720"/>
        <w:jc w:val="both"/>
        <w:rPr>
          <w:rFonts w:cs="Arial"/>
          <w:b/>
          <w:sz w:val="23"/>
          <w:szCs w:val="23"/>
          <w:u w:val="single"/>
        </w:rPr>
      </w:pPr>
    </w:p>
    <w:p w14:paraId="2E87E8B8" w14:textId="7ADAAC04" w:rsidR="00386757" w:rsidRPr="00183434" w:rsidRDefault="00183434" w:rsidP="00183434">
      <w:pPr>
        <w:jc w:val="both"/>
        <w:rPr>
          <w:rFonts w:cs="Arial"/>
          <w:b/>
          <w:sz w:val="23"/>
          <w:szCs w:val="23"/>
          <w:highlight w:val="cyan"/>
        </w:rPr>
      </w:pPr>
      <w:r w:rsidRPr="00183434">
        <w:rPr>
          <w:rFonts w:cs="Arial"/>
          <w:b/>
          <w:sz w:val="23"/>
          <w:szCs w:val="23"/>
        </w:rPr>
        <w:object w:dxaOrig="8858" w:dyaOrig="11165" w14:anchorId="25A18545">
          <v:shape id="_x0000_i1028" type="#_x0000_t75" style="width:475.8pt;height:599.05pt" o:ole="">
            <v:imagedata r:id="rId21" o:title=""/>
          </v:shape>
          <o:OLEObject Type="Link" ProgID="Excel.Sheet.12" ShapeID="_x0000_i1028" DrawAspect="Content" r:id="rId22" UpdateMode="Always">
            <o:LinkType>EnhancedMetaFile</o:LinkType>
            <o:LockedField>false</o:LockedField>
            <o:FieldCodes>\* MERGEFORMAT</o:FieldCodes>
          </o:OLEObject>
        </w:object>
      </w:r>
    </w:p>
    <w:p w14:paraId="2EF7A805" w14:textId="77777777" w:rsidR="00386757" w:rsidRPr="00183434" w:rsidRDefault="00386757" w:rsidP="00183434">
      <w:pPr>
        <w:ind w:left="720" w:hanging="720"/>
        <w:jc w:val="both"/>
        <w:rPr>
          <w:rFonts w:cs="Arial"/>
          <w:sz w:val="23"/>
          <w:szCs w:val="23"/>
          <w:highlight w:val="cyan"/>
        </w:rPr>
      </w:pPr>
    </w:p>
    <w:p w14:paraId="6DF5A51A" w14:textId="77777777" w:rsidR="00741864" w:rsidRPr="00183434" w:rsidRDefault="00741864" w:rsidP="00183434">
      <w:pPr>
        <w:ind w:left="720" w:hanging="720"/>
        <w:jc w:val="both"/>
        <w:rPr>
          <w:rFonts w:cs="Arial"/>
          <w:sz w:val="23"/>
          <w:szCs w:val="23"/>
          <w:highlight w:val="cyan"/>
        </w:rPr>
      </w:pPr>
    </w:p>
    <w:p w14:paraId="03CBB5C2" w14:textId="77777777" w:rsidR="00741864" w:rsidRPr="00183434" w:rsidRDefault="00741864" w:rsidP="00183434">
      <w:pPr>
        <w:ind w:left="720" w:hanging="720"/>
        <w:jc w:val="both"/>
        <w:rPr>
          <w:rFonts w:cs="Arial"/>
          <w:sz w:val="23"/>
          <w:szCs w:val="23"/>
          <w:highlight w:val="cyan"/>
        </w:rPr>
      </w:pPr>
    </w:p>
    <w:p w14:paraId="390888C0" w14:textId="11AD5E82" w:rsidR="00386757" w:rsidRPr="00183434" w:rsidRDefault="000B71A9" w:rsidP="00183434">
      <w:pPr>
        <w:jc w:val="both"/>
        <w:rPr>
          <w:rFonts w:cs="Arial"/>
          <w:b/>
          <w:sz w:val="23"/>
          <w:szCs w:val="23"/>
          <w:u w:val="single"/>
        </w:rPr>
      </w:pPr>
      <w:r w:rsidRPr="00183434">
        <w:rPr>
          <w:rFonts w:cs="Arial"/>
          <w:b/>
          <w:sz w:val="23"/>
          <w:szCs w:val="23"/>
          <w:highlight w:val="cyan"/>
          <w:u w:val="single"/>
        </w:rPr>
        <w:br w:type="page"/>
      </w:r>
      <w:r w:rsidR="00386757" w:rsidRPr="00183434">
        <w:rPr>
          <w:rFonts w:cs="Arial"/>
          <w:b/>
          <w:sz w:val="23"/>
          <w:szCs w:val="23"/>
          <w:u w:val="single"/>
        </w:rPr>
        <w:lastRenderedPageBreak/>
        <w:t>CASH FLOW STATEMENT</w:t>
      </w:r>
    </w:p>
    <w:p w14:paraId="17730D36" w14:textId="77777777" w:rsidR="00386757" w:rsidRPr="00183434" w:rsidRDefault="00386757" w:rsidP="00183434">
      <w:pPr>
        <w:jc w:val="both"/>
        <w:rPr>
          <w:rFonts w:cs="Arial"/>
          <w:sz w:val="23"/>
          <w:szCs w:val="23"/>
        </w:rPr>
      </w:pPr>
    </w:p>
    <w:p w14:paraId="33CE93D4" w14:textId="77777777" w:rsidR="00386757" w:rsidRPr="00183434" w:rsidRDefault="00386757" w:rsidP="00183434">
      <w:pPr>
        <w:jc w:val="both"/>
        <w:rPr>
          <w:rFonts w:cs="Arial"/>
          <w:sz w:val="23"/>
          <w:szCs w:val="23"/>
        </w:rPr>
      </w:pPr>
    </w:p>
    <w:p w14:paraId="170A033C" w14:textId="77777777" w:rsidR="00386757" w:rsidRPr="00183434" w:rsidRDefault="00386757" w:rsidP="00183434">
      <w:pPr>
        <w:jc w:val="both"/>
        <w:rPr>
          <w:rFonts w:cs="Arial"/>
          <w:sz w:val="23"/>
          <w:szCs w:val="23"/>
        </w:rPr>
      </w:pPr>
      <w:r w:rsidRPr="00183434">
        <w:rPr>
          <w:rFonts w:cs="Arial"/>
          <w:sz w:val="23"/>
          <w:szCs w:val="23"/>
        </w:rPr>
        <w:t xml:space="preserve">The Cash Flow statement shows the changes in cash and cash equivalents of the authority during the reporting period. </w:t>
      </w:r>
    </w:p>
    <w:p w14:paraId="762AD8C1" w14:textId="77777777" w:rsidR="00386757" w:rsidRPr="00183434" w:rsidRDefault="00386757" w:rsidP="00183434">
      <w:pPr>
        <w:jc w:val="both"/>
        <w:rPr>
          <w:rFonts w:cs="Arial"/>
          <w:sz w:val="23"/>
          <w:szCs w:val="23"/>
        </w:rPr>
      </w:pPr>
    </w:p>
    <w:p w14:paraId="64CA5AA6" w14:textId="77777777" w:rsidR="00386757" w:rsidRPr="00183434" w:rsidRDefault="00386757" w:rsidP="00183434">
      <w:pPr>
        <w:jc w:val="both"/>
        <w:rPr>
          <w:rFonts w:cs="Arial"/>
          <w:sz w:val="23"/>
          <w:szCs w:val="23"/>
        </w:rPr>
      </w:pPr>
      <w:r w:rsidRPr="00183434">
        <w:rPr>
          <w:rFonts w:cs="Arial"/>
          <w:sz w:val="23"/>
          <w:szCs w:val="23"/>
        </w:rPr>
        <w:t>The statement shows how the authority generates and uses cash and cash equivalen</w:t>
      </w:r>
      <w:r w:rsidR="00441BE2" w:rsidRPr="00183434">
        <w:rPr>
          <w:rFonts w:cs="Arial"/>
          <w:sz w:val="23"/>
          <w:szCs w:val="23"/>
        </w:rPr>
        <w:t>ts by classifying cash flows as</w:t>
      </w:r>
      <w:r w:rsidRPr="00183434">
        <w:rPr>
          <w:rFonts w:cs="Arial"/>
          <w:sz w:val="23"/>
          <w:szCs w:val="23"/>
        </w:rPr>
        <w:t xml:space="preserve"> operating, investing and financing activities. </w:t>
      </w:r>
    </w:p>
    <w:p w14:paraId="420479EE" w14:textId="77777777" w:rsidR="00386757" w:rsidRPr="00183434" w:rsidRDefault="00386757" w:rsidP="00183434">
      <w:pPr>
        <w:jc w:val="both"/>
        <w:rPr>
          <w:rFonts w:cs="Arial"/>
          <w:sz w:val="23"/>
          <w:szCs w:val="23"/>
        </w:rPr>
      </w:pPr>
    </w:p>
    <w:p w14:paraId="40C68151" w14:textId="77777777" w:rsidR="00386757" w:rsidRPr="00183434" w:rsidRDefault="00386757" w:rsidP="00183434">
      <w:pPr>
        <w:jc w:val="both"/>
        <w:rPr>
          <w:rFonts w:cs="Arial"/>
          <w:sz w:val="23"/>
          <w:szCs w:val="23"/>
        </w:rPr>
      </w:pPr>
      <w:r w:rsidRPr="00183434">
        <w:rPr>
          <w:rFonts w:cs="Arial"/>
          <w:sz w:val="23"/>
          <w:szCs w:val="23"/>
        </w:rPr>
        <w:t>The amount of net cash flows arising from operating activities is a key indicator of the extent to which the operations of the authority are funded by way of taxation and grant income or from the recipients of services provided by the authority.</w:t>
      </w:r>
    </w:p>
    <w:p w14:paraId="1A5BE2CF" w14:textId="77777777" w:rsidR="00386757" w:rsidRPr="00183434" w:rsidRDefault="00386757" w:rsidP="00183434">
      <w:pPr>
        <w:jc w:val="both"/>
        <w:rPr>
          <w:rFonts w:cs="Arial"/>
          <w:sz w:val="23"/>
          <w:szCs w:val="23"/>
        </w:rPr>
      </w:pPr>
    </w:p>
    <w:p w14:paraId="5218E5A2" w14:textId="77777777" w:rsidR="00386757" w:rsidRPr="00183434" w:rsidRDefault="00386757" w:rsidP="00183434">
      <w:pPr>
        <w:jc w:val="both"/>
        <w:rPr>
          <w:rFonts w:cs="Arial"/>
          <w:sz w:val="23"/>
          <w:szCs w:val="23"/>
        </w:rPr>
      </w:pPr>
      <w:r w:rsidRPr="00183434">
        <w:rPr>
          <w:rFonts w:cs="Arial"/>
          <w:sz w:val="23"/>
          <w:szCs w:val="23"/>
        </w:rPr>
        <w:t>Investing activities represent the extent to which cash outflows have been made for resources which are intended to contribute to the authority’s future service delivery.</w:t>
      </w:r>
    </w:p>
    <w:p w14:paraId="202E47CD" w14:textId="77777777" w:rsidR="00386757" w:rsidRPr="00183434" w:rsidRDefault="00386757" w:rsidP="00183434">
      <w:pPr>
        <w:jc w:val="both"/>
        <w:rPr>
          <w:rFonts w:cs="Arial"/>
          <w:sz w:val="23"/>
          <w:szCs w:val="23"/>
        </w:rPr>
      </w:pPr>
    </w:p>
    <w:p w14:paraId="2A85560C" w14:textId="77777777" w:rsidR="00386757" w:rsidRPr="00183434" w:rsidRDefault="00386757" w:rsidP="00183434">
      <w:pPr>
        <w:jc w:val="both"/>
        <w:rPr>
          <w:rFonts w:cs="Arial"/>
          <w:sz w:val="23"/>
          <w:szCs w:val="23"/>
        </w:rPr>
      </w:pPr>
      <w:r w:rsidRPr="00183434">
        <w:rPr>
          <w:rFonts w:cs="Arial"/>
          <w:sz w:val="23"/>
          <w:szCs w:val="23"/>
        </w:rPr>
        <w:t>Cash flows arising from financing activities are useful in predicting claims on future cash flows by providers of capital (i.e. borrowing) to the authority.</w:t>
      </w:r>
    </w:p>
    <w:p w14:paraId="4ECF1238" w14:textId="77777777" w:rsidR="00386757" w:rsidRDefault="00386757" w:rsidP="00183434">
      <w:pPr>
        <w:jc w:val="both"/>
        <w:rPr>
          <w:rFonts w:cs="Arial"/>
          <w:sz w:val="23"/>
          <w:szCs w:val="23"/>
          <w:highlight w:val="cyan"/>
        </w:rPr>
      </w:pPr>
    </w:p>
    <w:p w14:paraId="2CEA11AE" w14:textId="77777777" w:rsidR="00183434" w:rsidRDefault="00183434" w:rsidP="00183434">
      <w:pPr>
        <w:jc w:val="both"/>
        <w:rPr>
          <w:rFonts w:cs="Arial"/>
          <w:sz w:val="23"/>
          <w:szCs w:val="23"/>
          <w:highlight w:val="cyan"/>
        </w:rPr>
      </w:pPr>
    </w:p>
    <w:p w14:paraId="003F5BB3" w14:textId="77777777" w:rsidR="00183434" w:rsidRPr="00183434" w:rsidRDefault="00183434" w:rsidP="00183434">
      <w:pPr>
        <w:jc w:val="both"/>
        <w:rPr>
          <w:rFonts w:cs="Arial"/>
          <w:sz w:val="23"/>
          <w:szCs w:val="23"/>
          <w:highlight w:val="cyan"/>
        </w:rPr>
      </w:pPr>
    </w:p>
    <w:p w14:paraId="78FABE24" w14:textId="77777777" w:rsidR="00386757" w:rsidRPr="00183434" w:rsidRDefault="00386757" w:rsidP="00183434">
      <w:pPr>
        <w:jc w:val="both"/>
        <w:rPr>
          <w:rFonts w:cs="Arial"/>
          <w:b/>
          <w:sz w:val="23"/>
          <w:szCs w:val="23"/>
          <w:u w:val="single"/>
        </w:rPr>
      </w:pPr>
      <w:r w:rsidRPr="00183434">
        <w:rPr>
          <w:rFonts w:cs="Arial"/>
          <w:b/>
          <w:sz w:val="23"/>
          <w:szCs w:val="23"/>
          <w:u w:val="single"/>
        </w:rPr>
        <w:t>CASH FLOW STATEMENT</w:t>
      </w:r>
    </w:p>
    <w:p w14:paraId="465D5613" w14:textId="77777777" w:rsidR="00386757" w:rsidRPr="00183434" w:rsidRDefault="00386757" w:rsidP="00183434">
      <w:pPr>
        <w:jc w:val="both"/>
        <w:rPr>
          <w:rFonts w:cs="Arial"/>
          <w:sz w:val="23"/>
          <w:szCs w:val="23"/>
        </w:rPr>
      </w:pPr>
    </w:p>
    <w:p w14:paraId="58CBEA9F" w14:textId="77777777" w:rsidR="00386757" w:rsidRPr="00183434" w:rsidRDefault="00386757" w:rsidP="00183434">
      <w:pPr>
        <w:jc w:val="both"/>
        <w:rPr>
          <w:rFonts w:cs="Arial"/>
          <w:sz w:val="23"/>
          <w:szCs w:val="23"/>
        </w:rPr>
      </w:pPr>
    </w:p>
    <w:p w14:paraId="21F4C70E" w14:textId="1B8AD506" w:rsidR="00386757" w:rsidRPr="00183434" w:rsidRDefault="00E93B35" w:rsidP="00183434">
      <w:pPr>
        <w:jc w:val="both"/>
        <w:rPr>
          <w:rFonts w:cs="Arial"/>
          <w:sz w:val="23"/>
          <w:szCs w:val="23"/>
        </w:rPr>
      </w:pPr>
      <w:hyperlink r:id="rId23" w:history="1">
        <w:r w:rsidRPr="00183434">
          <w:rPr>
            <w:rFonts w:cs="Arial"/>
            <w:sz w:val="23"/>
            <w:szCs w:val="23"/>
          </w:rPr>
          <w:object w:dxaOrig="9482" w:dyaOrig="4609" w14:anchorId="73C64662">
            <v:shape id="_x0000_i1029" type="#_x0000_t75" style="width:470.6pt;height:230.4pt" o:ole="">
              <v:imagedata r:id="rId24" o:title=""/>
            </v:shape>
            <o:OLEObject Type="Link" ProgID="Excel.Sheet.12" ShapeID="_x0000_i1029" DrawAspect="Content" r:id="rId25" UpdateMode="Always">
              <o:LinkType>EnhancedMetaFile</o:LinkType>
              <o:LockedField>false</o:LockedField>
              <o:FieldCodes>\* MERGEFORMAT</o:FieldCodes>
            </o:OLEObject>
          </w:object>
        </w:r>
      </w:hyperlink>
    </w:p>
    <w:p w14:paraId="46853023" w14:textId="77777777" w:rsidR="00386757" w:rsidRPr="00183434" w:rsidRDefault="00386757" w:rsidP="00183434">
      <w:pPr>
        <w:jc w:val="both"/>
        <w:rPr>
          <w:rFonts w:cs="Arial"/>
          <w:sz w:val="23"/>
          <w:szCs w:val="23"/>
          <w:highlight w:val="cyan"/>
        </w:rPr>
      </w:pPr>
    </w:p>
    <w:p w14:paraId="7E949690" w14:textId="77777777" w:rsidR="00386757" w:rsidRPr="00183434" w:rsidRDefault="00386757" w:rsidP="00183434">
      <w:pPr>
        <w:jc w:val="both"/>
        <w:rPr>
          <w:rFonts w:cs="Arial"/>
          <w:sz w:val="23"/>
          <w:szCs w:val="23"/>
          <w:highlight w:val="cyan"/>
        </w:rPr>
      </w:pPr>
    </w:p>
    <w:p w14:paraId="25610913" w14:textId="77777777" w:rsidR="00386757" w:rsidRPr="00183434" w:rsidRDefault="00386757" w:rsidP="00183434">
      <w:pPr>
        <w:jc w:val="both"/>
        <w:rPr>
          <w:rFonts w:cs="Arial"/>
          <w:sz w:val="23"/>
          <w:szCs w:val="23"/>
          <w:highlight w:val="cyan"/>
        </w:rPr>
      </w:pPr>
    </w:p>
    <w:p w14:paraId="16A5F3FF" w14:textId="77777777" w:rsidR="00386757" w:rsidRPr="00183434" w:rsidRDefault="00386757" w:rsidP="00183434">
      <w:pPr>
        <w:jc w:val="both"/>
        <w:rPr>
          <w:rFonts w:cs="Arial"/>
          <w:sz w:val="23"/>
          <w:szCs w:val="23"/>
          <w:highlight w:val="cyan"/>
        </w:rPr>
      </w:pPr>
    </w:p>
    <w:p w14:paraId="778E4C29" w14:textId="77777777" w:rsidR="009F0052" w:rsidRPr="00183434" w:rsidRDefault="009F0052" w:rsidP="00183434">
      <w:pPr>
        <w:jc w:val="both"/>
        <w:rPr>
          <w:rFonts w:cs="Arial"/>
          <w:sz w:val="23"/>
          <w:szCs w:val="23"/>
          <w:highlight w:val="cyan"/>
        </w:rPr>
      </w:pPr>
    </w:p>
    <w:p w14:paraId="290CA886" w14:textId="77777777" w:rsidR="00E85565" w:rsidRPr="00183434" w:rsidRDefault="00E85565" w:rsidP="00183434">
      <w:pPr>
        <w:jc w:val="both"/>
        <w:rPr>
          <w:rFonts w:cs="Arial"/>
          <w:sz w:val="23"/>
          <w:szCs w:val="23"/>
          <w:highlight w:val="cyan"/>
        </w:rPr>
      </w:pPr>
    </w:p>
    <w:p w14:paraId="65A9D83F" w14:textId="77777777" w:rsidR="009F0052" w:rsidRPr="00183434" w:rsidRDefault="009F0052" w:rsidP="00183434">
      <w:pPr>
        <w:jc w:val="both"/>
        <w:rPr>
          <w:rFonts w:cs="Arial"/>
          <w:sz w:val="23"/>
          <w:szCs w:val="23"/>
          <w:highlight w:val="cyan"/>
        </w:rPr>
      </w:pPr>
    </w:p>
    <w:p w14:paraId="3FD9D23C" w14:textId="77777777" w:rsidR="00386757" w:rsidRPr="00183434" w:rsidRDefault="00386757" w:rsidP="00183434">
      <w:pPr>
        <w:jc w:val="both"/>
        <w:rPr>
          <w:rFonts w:cs="Arial"/>
          <w:sz w:val="23"/>
          <w:szCs w:val="23"/>
          <w:highlight w:val="cyan"/>
        </w:rPr>
      </w:pPr>
    </w:p>
    <w:p w14:paraId="22633079" w14:textId="77777777" w:rsidR="00386757" w:rsidRPr="00183434" w:rsidRDefault="00386757" w:rsidP="00183434">
      <w:pPr>
        <w:jc w:val="both"/>
        <w:rPr>
          <w:rFonts w:cs="Arial"/>
          <w:sz w:val="23"/>
          <w:szCs w:val="23"/>
          <w:highlight w:val="cyan"/>
        </w:rPr>
      </w:pPr>
    </w:p>
    <w:p w14:paraId="52476248" w14:textId="77777777" w:rsidR="00386757" w:rsidRPr="00183434" w:rsidRDefault="00386757" w:rsidP="00183434">
      <w:pPr>
        <w:jc w:val="both"/>
        <w:rPr>
          <w:rFonts w:cs="Arial"/>
          <w:sz w:val="23"/>
          <w:szCs w:val="23"/>
          <w:highlight w:val="cyan"/>
        </w:rPr>
      </w:pPr>
    </w:p>
    <w:p w14:paraId="17923335" w14:textId="77777777" w:rsidR="00330E4B" w:rsidRPr="00183434" w:rsidRDefault="00330E4B" w:rsidP="00183434">
      <w:pPr>
        <w:pStyle w:val="Title"/>
        <w:jc w:val="both"/>
        <w:rPr>
          <w:rFonts w:cs="Arial"/>
          <w:sz w:val="23"/>
          <w:szCs w:val="23"/>
          <w:highlight w:val="cyan"/>
        </w:rPr>
      </w:pPr>
    </w:p>
    <w:p w14:paraId="1E1F3684" w14:textId="77777777" w:rsidR="00765BDB" w:rsidRPr="00183434" w:rsidRDefault="00765BDB" w:rsidP="00183434">
      <w:pPr>
        <w:jc w:val="both"/>
        <w:rPr>
          <w:rFonts w:cs="Arial"/>
          <w:b/>
          <w:sz w:val="23"/>
          <w:szCs w:val="23"/>
          <w:highlight w:val="cyan"/>
          <w:u w:val="single"/>
        </w:rPr>
      </w:pPr>
      <w:r w:rsidRPr="00183434">
        <w:rPr>
          <w:rFonts w:cs="Arial"/>
          <w:sz w:val="23"/>
          <w:szCs w:val="23"/>
          <w:highlight w:val="cyan"/>
        </w:rPr>
        <w:br w:type="page"/>
      </w:r>
    </w:p>
    <w:p w14:paraId="5EC343EE" w14:textId="3886956D" w:rsidR="00386757" w:rsidRPr="00183434" w:rsidRDefault="00386757" w:rsidP="00183434">
      <w:pPr>
        <w:pStyle w:val="Title"/>
        <w:jc w:val="both"/>
        <w:rPr>
          <w:rFonts w:cs="Arial"/>
          <w:sz w:val="23"/>
          <w:szCs w:val="23"/>
        </w:rPr>
      </w:pPr>
      <w:r w:rsidRPr="00183434">
        <w:rPr>
          <w:rFonts w:cs="Arial"/>
          <w:sz w:val="23"/>
          <w:szCs w:val="23"/>
        </w:rPr>
        <w:lastRenderedPageBreak/>
        <w:t>NOTES TO THE FINANCIAL STATEMENTS</w:t>
      </w:r>
    </w:p>
    <w:p w14:paraId="0411ECD6" w14:textId="77777777" w:rsidR="00386757" w:rsidRPr="00183434" w:rsidRDefault="00386757" w:rsidP="00183434">
      <w:pPr>
        <w:jc w:val="both"/>
        <w:rPr>
          <w:rFonts w:cs="Arial"/>
          <w:sz w:val="23"/>
          <w:szCs w:val="23"/>
        </w:rPr>
      </w:pPr>
    </w:p>
    <w:p w14:paraId="3EB78C62" w14:textId="77777777" w:rsidR="00386757" w:rsidRPr="00183434" w:rsidRDefault="00386757" w:rsidP="00183434">
      <w:pPr>
        <w:jc w:val="both"/>
        <w:rPr>
          <w:rFonts w:cs="Arial"/>
          <w:sz w:val="23"/>
          <w:szCs w:val="23"/>
        </w:rPr>
      </w:pPr>
    </w:p>
    <w:p w14:paraId="0F62F799" w14:textId="77777777" w:rsidR="00985055" w:rsidRPr="00183434" w:rsidRDefault="00985055" w:rsidP="00183434">
      <w:pPr>
        <w:pStyle w:val="Title"/>
        <w:jc w:val="both"/>
        <w:rPr>
          <w:rFonts w:cs="Arial"/>
          <w:b w:val="0"/>
          <w:bCs/>
          <w:sz w:val="23"/>
          <w:szCs w:val="23"/>
        </w:rPr>
      </w:pPr>
      <w:r w:rsidRPr="00183434">
        <w:rPr>
          <w:rFonts w:cs="Arial"/>
          <w:bCs/>
          <w:sz w:val="23"/>
          <w:szCs w:val="23"/>
          <w:u w:val="none"/>
        </w:rPr>
        <w:t>1.</w:t>
      </w:r>
      <w:r w:rsidRPr="00183434">
        <w:rPr>
          <w:rFonts w:cs="Arial"/>
          <w:bCs/>
          <w:sz w:val="23"/>
          <w:szCs w:val="23"/>
          <w:u w:val="none"/>
        </w:rPr>
        <w:tab/>
      </w:r>
      <w:r w:rsidRPr="00183434">
        <w:rPr>
          <w:rFonts w:cs="Arial"/>
          <w:bCs/>
          <w:sz w:val="23"/>
          <w:szCs w:val="23"/>
        </w:rPr>
        <w:t>ACCOUNTING POLICIES</w:t>
      </w:r>
    </w:p>
    <w:p w14:paraId="62C1541D" w14:textId="77777777" w:rsidR="00985055" w:rsidRPr="00183434" w:rsidRDefault="00985055" w:rsidP="00183434">
      <w:pPr>
        <w:pStyle w:val="Title"/>
        <w:jc w:val="both"/>
        <w:rPr>
          <w:rFonts w:cs="Arial"/>
          <w:sz w:val="23"/>
          <w:szCs w:val="23"/>
        </w:rPr>
      </w:pPr>
    </w:p>
    <w:p w14:paraId="2DC4CAD5" w14:textId="77777777" w:rsidR="00985055" w:rsidRPr="00183434" w:rsidRDefault="00985055" w:rsidP="00183434">
      <w:pPr>
        <w:pStyle w:val="Heading1"/>
        <w:jc w:val="both"/>
        <w:rPr>
          <w:rFonts w:cs="Arial"/>
          <w:sz w:val="23"/>
          <w:szCs w:val="23"/>
        </w:rPr>
      </w:pPr>
      <w:r w:rsidRPr="00183434">
        <w:rPr>
          <w:rFonts w:cs="Arial"/>
          <w:sz w:val="23"/>
          <w:szCs w:val="23"/>
          <w:u w:val="none"/>
        </w:rPr>
        <w:t>1.1</w:t>
      </w:r>
      <w:r w:rsidRPr="00183434">
        <w:rPr>
          <w:rFonts w:cs="Arial"/>
          <w:sz w:val="23"/>
          <w:szCs w:val="23"/>
          <w:u w:val="none"/>
        </w:rPr>
        <w:tab/>
      </w:r>
      <w:r w:rsidRPr="00183434">
        <w:rPr>
          <w:rFonts w:cs="Arial"/>
          <w:sz w:val="23"/>
          <w:szCs w:val="23"/>
        </w:rPr>
        <w:t>GENERAL PRINCIPLES</w:t>
      </w:r>
    </w:p>
    <w:p w14:paraId="71A60F3D" w14:textId="77777777" w:rsidR="00985055" w:rsidRPr="00183434" w:rsidRDefault="00985055" w:rsidP="00183434">
      <w:pPr>
        <w:jc w:val="both"/>
        <w:rPr>
          <w:rFonts w:cs="Arial"/>
          <w:sz w:val="23"/>
          <w:szCs w:val="23"/>
        </w:rPr>
      </w:pPr>
    </w:p>
    <w:p w14:paraId="0AA38A67" w14:textId="77777777" w:rsidR="00985055" w:rsidRPr="00183434" w:rsidRDefault="00985055" w:rsidP="00183434">
      <w:pPr>
        <w:ind w:left="720"/>
        <w:jc w:val="both"/>
        <w:rPr>
          <w:rFonts w:cs="Arial"/>
          <w:sz w:val="23"/>
          <w:szCs w:val="23"/>
        </w:rPr>
      </w:pPr>
      <w:r w:rsidRPr="00183434">
        <w:rPr>
          <w:rFonts w:cs="Arial"/>
          <w:sz w:val="23"/>
          <w:szCs w:val="23"/>
        </w:rPr>
        <w:t>The Statement of Accounts summarises the Council’s transactions for the 2025/25 financial year and its position at the year-end 31</w:t>
      </w:r>
      <w:r w:rsidRPr="00183434">
        <w:rPr>
          <w:rFonts w:cs="Arial"/>
          <w:sz w:val="23"/>
          <w:szCs w:val="23"/>
          <w:vertAlign w:val="superscript"/>
        </w:rPr>
        <w:t>st</w:t>
      </w:r>
      <w:r w:rsidRPr="00183434">
        <w:rPr>
          <w:rFonts w:cs="Arial"/>
          <w:sz w:val="23"/>
          <w:szCs w:val="23"/>
        </w:rPr>
        <w:t xml:space="preserve"> March 2026.</w:t>
      </w:r>
    </w:p>
    <w:p w14:paraId="3F0152FB" w14:textId="77777777" w:rsidR="00985055" w:rsidRPr="00183434" w:rsidRDefault="00985055" w:rsidP="00183434">
      <w:pPr>
        <w:ind w:left="360"/>
        <w:jc w:val="both"/>
        <w:rPr>
          <w:rFonts w:cs="Arial"/>
          <w:sz w:val="23"/>
          <w:szCs w:val="23"/>
        </w:rPr>
      </w:pPr>
    </w:p>
    <w:p w14:paraId="30D93E8D" w14:textId="77777777" w:rsidR="00985055" w:rsidRPr="00183434" w:rsidRDefault="00985055" w:rsidP="00183434">
      <w:pPr>
        <w:ind w:left="720"/>
        <w:jc w:val="both"/>
        <w:rPr>
          <w:rFonts w:cs="Arial"/>
          <w:sz w:val="23"/>
          <w:szCs w:val="23"/>
        </w:rPr>
      </w:pPr>
      <w:r w:rsidRPr="00183434">
        <w:rPr>
          <w:rFonts w:cs="Arial"/>
          <w:sz w:val="23"/>
          <w:szCs w:val="23"/>
        </w:rPr>
        <w:t>The Accounts and Audit Regulations 2015 require the authority to produce an annual Statement of Accounts to be prepared in accordance with proper accounting practices. These practices primarily comprise the Code of Practice on Local Authority Accounting in the United Kingdom 2025/26 (the Code), supported by International Financial Reporting Standards (IFRS).</w:t>
      </w:r>
    </w:p>
    <w:p w14:paraId="1941791F" w14:textId="77777777" w:rsidR="00985055" w:rsidRPr="00183434" w:rsidRDefault="00985055" w:rsidP="00183434">
      <w:pPr>
        <w:ind w:left="720"/>
        <w:jc w:val="both"/>
        <w:rPr>
          <w:rFonts w:cs="Arial"/>
          <w:sz w:val="23"/>
          <w:szCs w:val="23"/>
        </w:rPr>
      </w:pPr>
    </w:p>
    <w:p w14:paraId="7FD06230" w14:textId="77777777" w:rsidR="00985055" w:rsidRPr="00183434" w:rsidRDefault="00985055" w:rsidP="00183434">
      <w:pPr>
        <w:ind w:left="720"/>
        <w:jc w:val="both"/>
        <w:rPr>
          <w:rFonts w:cs="Arial"/>
          <w:sz w:val="23"/>
          <w:szCs w:val="23"/>
        </w:rPr>
      </w:pPr>
      <w:r w:rsidRPr="00183434">
        <w:rPr>
          <w:rFonts w:cs="Arial"/>
          <w:sz w:val="23"/>
          <w:szCs w:val="23"/>
        </w:rPr>
        <w:t>The accounting convention adopted is principally historical cost, modified by the revaluation of certain categories of non-current assets and financial instruments.</w:t>
      </w:r>
    </w:p>
    <w:p w14:paraId="7853DA06" w14:textId="77777777" w:rsidR="00985055" w:rsidRPr="00183434" w:rsidRDefault="00985055" w:rsidP="00183434">
      <w:pPr>
        <w:ind w:left="720"/>
        <w:jc w:val="both"/>
        <w:rPr>
          <w:rFonts w:cs="Arial"/>
          <w:sz w:val="23"/>
          <w:szCs w:val="23"/>
        </w:rPr>
      </w:pPr>
    </w:p>
    <w:p w14:paraId="43E00B7F" w14:textId="77777777" w:rsidR="00985055" w:rsidRPr="00183434" w:rsidRDefault="00985055" w:rsidP="00183434">
      <w:pPr>
        <w:pStyle w:val="Heading2"/>
        <w:jc w:val="both"/>
        <w:rPr>
          <w:rFonts w:cs="Arial"/>
          <w:sz w:val="23"/>
          <w:szCs w:val="23"/>
        </w:rPr>
      </w:pPr>
      <w:r w:rsidRPr="00183434">
        <w:rPr>
          <w:rFonts w:cs="Arial"/>
          <w:sz w:val="23"/>
          <w:szCs w:val="23"/>
          <w:u w:val="none"/>
        </w:rPr>
        <w:t>1.2</w:t>
      </w:r>
      <w:r w:rsidRPr="00183434">
        <w:rPr>
          <w:rFonts w:cs="Arial"/>
          <w:sz w:val="23"/>
          <w:szCs w:val="23"/>
          <w:u w:val="none"/>
        </w:rPr>
        <w:tab/>
      </w:r>
      <w:r w:rsidRPr="00183434">
        <w:rPr>
          <w:rFonts w:cs="Arial"/>
          <w:sz w:val="23"/>
          <w:szCs w:val="23"/>
        </w:rPr>
        <w:t>ACCRUALS OF EXPENDITURE &amp; INCOME</w:t>
      </w:r>
    </w:p>
    <w:p w14:paraId="0525CF99" w14:textId="77777777" w:rsidR="00985055" w:rsidRPr="00183434" w:rsidRDefault="00985055" w:rsidP="00183434">
      <w:pPr>
        <w:jc w:val="both"/>
        <w:rPr>
          <w:rFonts w:cs="Arial"/>
          <w:sz w:val="23"/>
          <w:szCs w:val="23"/>
          <w:highlight w:val="cyan"/>
        </w:rPr>
      </w:pPr>
    </w:p>
    <w:p w14:paraId="1699C680" w14:textId="77777777" w:rsidR="00985055" w:rsidRPr="00183434" w:rsidRDefault="00985055" w:rsidP="00183434">
      <w:pPr>
        <w:ind w:left="720"/>
        <w:jc w:val="both"/>
        <w:rPr>
          <w:rFonts w:cs="Arial"/>
          <w:sz w:val="23"/>
          <w:szCs w:val="23"/>
        </w:rPr>
      </w:pPr>
      <w:r w:rsidRPr="00183434">
        <w:rPr>
          <w:rFonts w:cs="Arial"/>
          <w:sz w:val="23"/>
          <w:szCs w:val="23"/>
        </w:rPr>
        <w:t>Income and expenditure in general are accounted for in the year in which they take place, not simply when cash payments are made or received.</w:t>
      </w:r>
    </w:p>
    <w:p w14:paraId="2460CC88" w14:textId="77777777" w:rsidR="00985055" w:rsidRPr="00183434" w:rsidRDefault="00985055" w:rsidP="00183434">
      <w:pPr>
        <w:jc w:val="both"/>
        <w:rPr>
          <w:rFonts w:cs="Arial"/>
          <w:sz w:val="23"/>
          <w:szCs w:val="23"/>
          <w:highlight w:val="cyan"/>
        </w:rPr>
      </w:pPr>
    </w:p>
    <w:p w14:paraId="30934171" w14:textId="77777777" w:rsidR="00985055" w:rsidRPr="00183434" w:rsidRDefault="00985055" w:rsidP="00183434">
      <w:pPr>
        <w:ind w:left="720"/>
        <w:jc w:val="both"/>
        <w:rPr>
          <w:rFonts w:cs="Arial"/>
          <w:sz w:val="23"/>
          <w:szCs w:val="23"/>
        </w:rPr>
      </w:pPr>
      <w:r w:rsidRPr="00183434">
        <w:rPr>
          <w:rFonts w:cs="Arial"/>
          <w:sz w:val="23"/>
          <w:szCs w:val="23"/>
        </w:rPr>
        <w:t xml:space="preserve">Exceptions to this principle relate to electricity and similar quarterly payments which are charged at the date of the meter reading rather than being apportioned between years and wages payments for which only full week’s pay is recorded.  This policy is applied consistently each year and does not have a material effect on the year’s accounts.   </w:t>
      </w:r>
    </w:p>
    <w:p w14:paraId="1C426332" w14:textId="77777777" w:rsidR="00985055" w:rsidRPr="00183434" w:rsidRDefault="00985055" w:rsidP="00183434">
      <w:pPr>
        <w:ind w:left="720"/>
        <w:jc w:val="both"/>
        <w:rPr>
          <w:rFonts w:cs="Arial"/>
          <w:sz w:val="23"/>
          <w:szCs w:val="23"/>
          <w:highlight w:val="cyan"/>
        </w:rPr>
      </w:pPr>
    </w:p>
    <w:p w14:paraId="39E43228" w14:textId="77777777" w:rsidR="00985055" w:rsidRPr="00183434" w:rsidRDefault="00985055" w:rsidP="00183434">
      <w:pPr>
        <w:ind w:left="720"/>
        <w:jc w:val="both"/>
        <w:rPr>
          <w:rFonts w:cs="Arial"/>
          <w:sz w:val="23"/>
          <w:szCs w:val="23"/>
        </w:rPr>
      </w:pPr>
      <w:r w:rsidRPr="00183434">
        <w:rPr>
          <w:rFonts w:cs="Arial"/>
          <w:sz w:val="23"/>
          <w:szCs w:val="23"/>
        </w:rPr>
        <w:t>Where income and expenditure have been recognised but cash has not been received or paid, a debtor or creditor is included in the Balance Sheet.</w:t>
      </w:r>
    </w:p>
    <w:p w14:paraId="0264FCD4" w14:textId="77777777" w:rsidR="00985055" w:rsidRPr="00183434" w:rsidRDefault="00985055" w:rsidP="00183434">
      <w:pPr>
        <w:ind w:left="720"/>
        <w:jc w:val="both"/>
        <w:rPr>
          <w:rFonts w:cs="Arial"/>
          <w:sz w:val="23"/>
          <w:szCs w:val="23"/>
          <w:highlight w:val="cyan"/>
        </w:rPr>
      </w:pPr>
    </w:p>
    <w:p w14:paraId="774411C0" w14:textId="77777777" w:rsidR="00985055" w:rsidRPr="00183434" w:rsidRDefault="00985055" w:rsidP="00183434">
      <w:pPr>
        <w:jc w:val="both"/>
        <w:rPr>
          <w:rFonts w:cs="Arial"/>
          <w:b/>
          <w:sz w:val="23"/>
          <w:szCs w:val="23"/>
          <w:u w:val="single"/>
        </w:rPr>
      </w:pPr>
      <w:r w:rsidRPr="00183434">
        <w:rPr>
          <w:rFonts w:cs="Arial"/>
          <w:b/>
          <w:sz w:val="23"/>
          <w:szCs w:val="23"/>
        </w:rPr>
        <w:t>1.3</w:t>
      </w:r>
      <w:r w:rsidRPr="00183434">
        <w:rPr>
          <w:rFonts w:cs="Arial"/>
          <w:sz w:val="23"/>
          <w:szCs w:val="23"/>
        </w:rPr>
        <w:tab/>
      </w:r>
      <w:r w:rsidRPr="00183434">
        <w:rPr>
          <w:rFonts w:cs="Arial"/>
          <w:b/>
          <w:sz w:val="23"/>
          <w:szCs w:val="23"/>
          <w:u w:val="single"/>
        </w:rPr>
        <w:t>CASH &amp; CASH EQUIVALENTS</w:t>
      </w:r>
    </w:p>
    <w:p w14:paraId="0969F090" w14:textId="77777777" w:rsidR="00985055" w:rsidRPr="00183434" w:rsidRDefault="00985055" w:rsidP="00183434">
      <w:pPr>
        <w:jc w:val="both"/>
        <w:rPr>
          <w:rFonts w:cs="Arial"/>
          <w:b/>
          <w:sz w:val="23"/>
          <w:szCs w:val="23"/>
          <w:highlight w:val="cyan"/>
          <w:u w:val="single"/>
        </w:rPr>
      </w:pPr>
    </w:p>
    <w:p w14:paraId="403E6774" w14:textId="77777777" w:rsidR="00985055" w:rsidRPr="00183434" w:rsidRDefault="00985055" w:rsidP="00183434">
      <w:pPr>
        <w:ind w:left="720"/>
        <w:jc w:val="both"/>
        <w:rPr>
          <w:rFonts w:cs="Arial"/>
          <w:sz w:val="23"/>
          <w:szCs w:val="23"/>
        </w:rPr>
      </w:pPr>
      <w:r w:rsidRPr="00183434">
        <w:rPr>
          <w:rFonts w:cs="Arial"/>
          <w:sz w:val="23"/>
          <w:szCs w:val="23"/>
        </w:rPr>
        <w:t>Cash is represented by cash in hand and deposits with financial institutions repayable without penalty on notice of not more than 24 hours. Cash equivalents are any other instrument repayable within a 24-hour period.</w:t>
      </w:r>
    </w:p>
    <w:p w14:paraId="3513AE40" w14:textId="77777777" w:rsidR="00985055" w:rsidRPr="00183434" w:rsidRDefault="00985055" w:rsidP="00183434">
      <w:pPr>
        <w:ind w:left="720"/>
        <w:jc w:val="both"/>
        <w:rPr>
          <w:rFonts w:cs="Arial"/>
          <w:sz w:val="23"/>
          <w:szCs w:val="23"/>
          <w:highlight w:val="cyan"/>
        </w:rPr>
      </w:pPr>
    </w:p>
    <w:p w14:paraId="4F10904F" w14:textId="77777777" w:rsidR="00985055" w:rsidRPr="00183434" w:rsidRDefault="00985055" w:rsidP="00183434">
      <w:pPr>
        <w:ind w:left="720"/>
        <w:jc w:val="both"/>
        <w:rPr>
          <w:rFonts w:cs="Arial"/>
          <w:sz w:val="23"/>
          <w:szCs w:val="23"/>
        </w:rPr>
      </w:pPr>
      <w:r w:rsidRPr="00183434">
        <w:rPr>
          <w:rFonts w:cs="Arial"/>
          <w:sz w:val="23"/>
          <w:szCs w:val="23"/>
        </w:rPr>
        <w:t>In the Cash Flow Statement, cash and cash equivalents are shown net of bank overdrafts that are repayable on demand and form an integral part of the Authority’s cash management.</w:t>
      </w:r>
    </w:p>
    <w:p w14:paraId="497D1658" w14:textId="77777777" w:rsidR="00985055" w:rsidRPr="00183434" w:rsidRDefault="00985055" w:rsidP="00183434">
      <w:pPr>
        <w:jc w:val="both"/>
        <w:rPr>
          <w:rFonts w:cs="Arial"/>
          <w:sz w:val="23"/>
          <w:szCs w:val="23"/>
          <w:highlight w:val="cyan"/>
        </w:rPr>
      </w:pPr>
    </w:p>
    <w:p w14:paraId="5ECEFA2B"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1.4</w:t>
      </w:r>
      <w:r w:rsidRPr="00183434">
        <w:rPr>
          <w:rFonts w:cs="Arial"/>
          <w:bCs/>
          <w:color w:val="000000" w:themeColor="text1"/>
          <w:sz w:val="23"/>
          <w:szCs w:val="23"/>
          <w:u w:val="none"/>
        </w:rPr>
        <w:tab/>
      </w:r>
      <w:r w:rsidRPr="00183434">
        <w:rPr>
          <w:rFonts w:cs="Arial"/>
          <w:bCs/>
          <w:color w:val="000000" w:themeColor="text1"/>
          <w:sz w:val="23"/>
          <w:szCs w:val="23"/>
        </w:rPr>
        <w:t>INTERNAL INTEREST</w:t>
      </w:r>
    </w:p>
    <w:p w14:paraId="45603969" w14:textId="77777777" w:rsidR="00985055" w:rsidRPr="00183434" w:rsidRDefault="00985055" w:rsidP="00183434">
      <w:pPr>
        <w:jc w:val="both"/>
        <w:rPr>
          <w:rFonts w:cs="Arial"/>
          <w:sz w:val="23"/>
          <w:szCs w:val="23"/>
        </w:rPr>
      </w:pPr>
    </w:p>
    <w:p w14:paraId="1787394E" w14:textId="77777777" w:rsidR="00985055" w:rsidRPr="00183434" w:rsidRDefault="00985055" w:rsidP="00183434">
      <w:pPr>
        <w:ind w:left="720"/>
        <w:jc w:val="both"/>
        <w:rPr>
          <w:rFonts w:cs="Arial"/>
          <w:sz w:val="23"/>
          <w:szCs w:val="23"/>
        </w:rPr>
      </w:pPr>
      <w:r w:rsidRPr="00183434">
        <w:rPr>
          <w:rFonts w:cs="Arial"/>
          <w:sz w:val="23"/>
          <w:szCs w:val="23"/>
        </w:rPr>
        <w:t>Internal interest is credited to the various funds based on their respective cash flow positions.  The rate of interest used is the average Sterling Overnight Index.</w:t>
      </w:r>
    </w:p>
    <w:p w14:paraId="39AE15BE" w14:textId="77777777" w:rsidR="00985055" w:rsidRPr="00183434" w:rsidRDefault="00985055" w:rsidP="00183434">
      <w:pPr>
        <w:ind w:left="720"/>
        <w:jc w:val="both"/>
        <w:rPr>
          <w:rFonts w:cs="Arial"/>
          <w:sz w:val="23"/>
          <w:szCs w:val="23"/>
          <w:highlight w:val="cyan"/>
        </w:rPr>
      </w:pPr>
    </w:p>
    <w:p w14:paraId="6684DA89"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1.5</w:t>
      </w:r>
      <w:r w:rsidRPr="00183434">
        <w:rPr>
          <w:rFonts w:cs="Arial"/>
          <w:bCs/>
          <w:color w:val="000000" w:themeColor="text1"/>
          <w:sz w:val="23"/>
          <w:szCs w:val="23"/>
          <w:u w:val="none"/>
        </w:rPr>
        <w:tab/>
      </w:r>
      <w:r w:rsidRPr="00183434">
        <w:rPr>
          <w:rFonts w:cs="Arial"/>
          <w:bCs/>
          <w:color w:val="000000" w:themeColor="text1"/>
          <w:sz w:val="23"/>
          <w:szCs w:val="23"/>
        </w:rPr>
        <w:t>OVERHEADS</w:t>
      </w:r>
    </w:p>
    <w:p w14:paraId="11C0A2AC" w14:textId="77777777" w:rsidR="00985055" w:rsidRPr="00183434" w:rsidRDefault="00985055" w:rsidP="00183434">
      <w:pPr>
        <w:jc w:val="both"/>
        <w:rPr>
          <w:rFonts w:cs="Arial"/>
          <w:sz w:val="23"/>
          <w:szCs w:val="23"/>
          <w:highlight w:val="cyan"/>
        </w:rPr>
      </w:pPr>
    </w:p>
    <w:p w14:paraId="262D5F5A" w14:textId="77777777" w:rsidR="00985055" w:rsidRPr="00183434" w:rsidRDefault="00985055" w:rsidP="00183434">
      <w:pPr>
        <w:ind w:left="720"/>
        <w:jc w:val="both"/>
        <w:rPr>
          <w:rFonts w:cs="Arial"/>
          <w:sz w:val="23"/>
          <w:szCs w:val="23"/>
        </w:rPr>
      </w:pPr>
      <w:r w:rsidRPr="00183434">
        <w:rPr>
          <w:rFonts w:cs="Arial"/>
          <w:sz w:val="23"/>
          <w:szCs w:val="23"/>
        </w:rPr>
        <w:t>The costs of overheads and support services are charged to portfolios in accordance with the authority’s arrangements for reporting financial performance.</w:t>
      </w:r>
    </w:p>
    <w:p w14:paraId="35AFC262" w14:textId="77777777" w:rsidR="00985055" w:rsidRPr="00183434" w:rsidRDefault="00985055" w:rsidP="00183434">
      <w:pPr>
        <w:jc w:val="both"/>
        <w:rPr>
          <w:rFonts w:cs="Arial"/>
          <w:sz w:val="23"/>
          <w:szCs w:val="23"/>
          <w:highlight w:val="cyan"/>
        </w:rPr>
      </w:pPr>
    </w:p>
    <w:p w14:paraId="32C0F667" w14:textId="77777777" w:rsidR="00985055" w:rsidRPr="00183434" w:rsidRDefault="00985055" w:rsidP="00183434">
      <w:pPr>
        <w:jc w:val="both"/>
        <w:rPr>
          <w:rFonts w:cs="Arial"/>
          <w:sz w:val="23"/>
          <w:szCs w:val="23"/>
        </w:rPr>
      </w:pPr>
    </w:p>
    <w:p w14:paraId="2FB9AE3A"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1.6</w:t>
      </w:r>
      <w:r w:rsidRPr="00183434">
        <w:rPr>
          <w:rFonts w:cs="Arial"/>
          <w:bCs/>
          <w:color w:val="000000" w:themeColor="text1"/>
          <w:sz w:val="23"/>
          <w:szCs w:val="23"/>
          <w:u w:val="none"/>
        </w:rPr>
        <w:tab/>
      </w:r>
      <w:r w:rsidRPr="00183434">
        <w:rPr>
          <w:rFonts w:cs="Arial"/>
          <w:bCs/>
          <w:color w:val="000000" w:themeColor="text1"/>
          <w:sz w:val="23"/>
          <w:szCs w:val="23"/>
        </w:rPr>
        <w:t>EMPLOYEE BENEFITS</w:t>
      </w:r>
    </w:p>
    <w:p w14:paraId="015DB4A0" w14:textId="77777777" w:rsidR="00985055" w:rsidRPr="00183434" w:rsidRDefault="00985055" w:rsidP="00183434">
      <w:pPr>
        <w:jc w:val="both"/>
        <w:rPr>
          <w:rFonts w:cs="Arial"/>
          <w:sz w:val="23"/>
          <w:szCs w:val="23"/>
        </w:rPr>
      </w:pPr>
    </w:p>
    <w:p w14:paraId="02E71188" w14:textId="77777777" w:rsidR="00985055" w:rsidRPr="00183434" w:rsidRDefault="00985055" w:rsidP="00183434">
      <w:pPr>
        <w:ind w:left="720"/>
        <w:jc w:val="both"/>
        <w:rPr>
          <w:rFonts w:cs="Arial"/>
          <w:sz w:val="23"/>
          <w:szCs w:val="23"/>
          <w:u w:val="single"/>
        </w:rPr>
      </w:pPr>
      <w:r w:rsidRPr="00183434">
        <w:rPr>
          <w:rFonts w:cs="Arial"/>
          <w:sz w:val="23"/>
          <w:szCs w:val="23"/>
          <w:u w:val="single"/>
        </w:rPr>
        <w:lastRenderedPageBreak/>
        <w:t>Benefits Payable During Employment</w:t>
      </w:r>
    </w:p>
    <w:p w14:paraId="759832BF" w14:textId="77777777" w:rsidR="00985055" w:rsidRPr="00183434" w:rsidRDefault="00985055" w:rsidP="00183434">
      <w:pPr>
        <w:ind w:left="720"/>
        <w:jc w:val="both"/>
        <w:rPr>
          <w:rFonts w:cs="Arial"/>
          <w:sz w:val="23"/>
          <w:szCs w:val="23"/>
          <w:u w:val="single"/>
        </w:rPr>
      </w:pPr>
    </w:p>
    <w:p w14:paraId="6ADFB265" w14:textId="77777777" w:rsidR="00985055" w:rsidRPr="00183434" w:rsidRDefault="00985055" w:rsidP="00183434">
      <w:pPr>
        <w:ind w:left="720"/>
        <w:jc w:val="both"/>
        <w:rPr>
          <w:rFonts w:cs="Arial"/>
          <w:sz w:val="23"/>
          <w:szCs w:val="23"/>
        </w:rPr>
      </w:pPr>
      <w:r w:rsidRPr="00183434">
        <w:rPr>
          <w:rFonts w:cs="Arial"/>
          <w:sz w:val="23"/>
          <w:szCs w:val="23"/>
        </w:rPr>
        <w:t>Short term employee benefits are those due to be settled within 12 months of the year-end and include salaries, paid annual and sick leave and bonuses, and are recognised as an expense for services in the year in which employees render service to the Authority.</w:t>
      </w:r>
    </w:p>
    <w:p w14:paraId="22CBB8AA" w14:textId="77777777" w:rsidR="00985055" w:rsidRPr="00183434" w:rsidRDefault="00985055" w:rsidP="00183434">
      <w:pPr>
        <w:ind w:left="720"/>
        <w:jc w:val="both"/>
        <w:rPr>
          <w:rFonts w:cs="Arial"/>
          <w:sz w:val="23"/>
          <w:szCs w:val="23"/>
        </w:rPr>
      </w:pPr>
    </w:p>
    <w:p w14:paraId="7C7821DA" w14:textId="77777777" w:rsidR="00985055" w:rsidRPr="00183434" w:rsidRDefault="00985055" w:rsidP="00183434">
      <w:pPr>
        <w:ind w:left="720"/>
        <w:jc w:val="both"/>
        <w:rPr>
          <w:rFonts w:cs="Arial"/>
          <w:sz w:val="23"/>
          <w:szCs w:val="23"/>
        </w:rPr>
      </w:pPr>
      <w:r w:rsidRPr="00183434">
        <w:rPr>
          <w:rFonts w:cs="Arial"/>
          <w:sz w:val="23"/>
          <w:szCs w:val="23"/>
        </w:rPr>
        <w:t>An accrual is made for the cost of holiday entitlements or any form of leave, earned by an employee but not taken before the year end which employees can carry forward into the next financial year. The accrual is made at the salary level applicable in the following accounting year, being the period in which the employee takes the benefit. The accrual is charged to ‘Surplus or Deficit on the Provision of Services’ so that holiday benefits are charged to revenue in the financial year in which the holiday absence occurs but then reversed out through the Movement in Reserves Statement.</w:t>
      </w:r>
    </w:p>
    <w:p w14:paraId="27B7AF11" w14:textId="77777777" w:rsidR="00985055" w:rsidRPr="00183434" w:rsidRDefault="00985055" w:rsidP="00183434">
      <w:pPr>
        <w:ind w:left="720"/>
        <w:jc w:val="both"/>
        <w:rPr>
          <w:rFonts w:cs="Arial"/>
          <w:sz w:val="23"/>
          <w:szCs w:val="23"/>
          <w:highlight w:val="cyan"/>
        </w:rPr>
      </w:pPr>
    </w:p>
    <w:p w14:paraId="4CC3F737" w14:textId="77777777" w:rsidR="00985055" w:rsidRPr="00183434" w:rsidRDefault="00985055" w:rsidP="00183434">
      <w:pPr>
        <w:ind w:left="720"/>
        <w:jc w:val="both"/>
        <w:rPr>
          <w:rFonts w:cs="Arial"/>
          <w:sz w:val="23"/>
          <w:szCs w:val="23"/>
          <w:u w:val="single"/>
        </w:rPr>
      </w:pPr>
      <w:r w:rsidRPr="00183434">
        <w:rPr>
          <w:rFonts w:cs="Arial"/>
          <w:sz w:val="23"/>
          <w:szCs w:val="23"/>
          <w:u w:val="single"/>
        </w:rPr>
        <w:t>Termination Benefits</w:t>
      </w:r>
    </w:p>
    <w:p w14:paraId="14EFE33B" w14:textId="77777777" w:rsidR="00985055" w:rsidRPr="00183434" w:rsidRDefault="00985055" w:rsidP="00183434">
      <w:pPr>
        <w:ind w:left="720"/>
        <w:jc w:val="both"/>
        <w:rPr>
          <w:rFonts w:cs="Arial"/>
          <w:sz w:val="23"/>
          <w:szCs w:val="23"/>
        </w:rPr>
      </w:pPr>
    </w:p>
    <w:p w14:paraId="51ED17A3" w14:textId="77777777" w:rsidR="00985055" w:rsidRPr="00183434" w:rsidRDefault="00985055" w:rsidP="00183434">
      <w:pPr>
        <w:ind w:left="720"/>
        <w:jc w:val="both"/>
        <w:rPr>
          <w:rFonts w:cs="Arial"/>
          <w:sz w:val="23"/>
          <w:szCs w:val="23"/>
        </w:rPr>
      </w:pPr>
      <w:r w:rsidRPr="00183434">
        <w:rPr>
          <w:rFonts w:cs="Arial"/>
          <w:sz w:val="23"/>
          <w:szCs w:val="23"/>
        </w:rPr>
        <w:t>These are amounts payable as a result of a decision by the Authority to terminate an officer’s employment before the normal retirement date or an officer accepts voluntary redundancy and are charged on an accruals basis to the appropriate service in the Comprehensive Income &amp; Expenditure Statement at the earlier of when the Authority can no longer withdraw the offer of those benefits or when it recognises costs for a restructuring.</w:t>
      </w:r>
    </w:p>
    <w:p w14:paraId="0FB0B3D1" w14:textId="77777777" w:rsidR="00985055" w:rsidRPr="00183434" w:rsidRDefault="00985055" w:rsidP="00183434">
      <w:pPr>
        <w:jc w:val="both"/>
        <w:rPr>
          <w:rFonts w:cs="Arial"/>
          <w:sz w:val="23"/>
          <w:szCs w:val="23"/>
        </w:rPr>
      </w:pPr>
    </w:p>
    <w:p w14:paraId="08EF061C" w14:textId="77777777" w:rsidR="00985055" w:rsidRPr="00183434" w:rsidRDefault="00985055" w:rsidP="00183434">
      <w:pPr>
        <w:jc w:val="both"/>
        <w:rPr>
          <w:rFonts w:cs="Arial"/>
          <w:sz w:val="23"/>
          <w:szCs w:val="23"/>
          <w:u w:val="single"/>
        </w:rPr>
      </w:pPr>
      <w:r w:rsidRPr="00183434">
        <w:rPr>
          <w:rFonts w:cs="Arial"/>
          <w:sz w:val="23"/>
          <w:szCs w:val="23"/>
        </w:rPr>
        <w:tab/>
      </w:r>
      <w:r w:rsidRPr="00183434">
        <w:rPr>
          <w:rFonts w:cs="Arial"/>
          <w:sz w:val="23"/>
          <w:szCs w:val="23"/>
          <w:u w:val="single"/>
        </w:rPr>
        <w:t>Post Employment Benefits</w:t>
      </w:r>
    </w:p>
    <w:p w14:paraId="54CA27F4" w14:textId="77777777" w:rsidR="00985055" w:rsidRPr="00183434" w:rsidRDefault="00985055" w:rsidP="00183434">
      <w:pPr>
        <w:jc w:val="both"/>
        <w:rPr>
          <w:rFonts w:cs="Arial"/>
          <w:sz w:val="23"/>
          <w:szCs w:val="23"/>
        </w:rPr>
      </w:pPr>
    </w:p>
    <w:p w14:paraId="6A6B95ED" w14:textId="77777777" w:rsidR="00985055" w:rsidRPr="00183434" w:rsidRDefault="00985055" w:rsidP="00183434">
      <w:pPr>
        <w:ind w:left="720"/>
        <w:jc w:val="both"/>
        <w:rPr>
          <w:rFonts w:cs="Arial"/>
          <w:sz w:val="23"/>
          <w:szCs w:val="23"/>
        </w:rPr>
      </w:pPr>
      <w:r w:rsidRPr="00183434">
        <w:rPr>
          <w:rFonts w:cs="Arial"/>
          <w:sz w:val="23"/>
          <w:szCs w:val="23"/>
        </w:rPr>
        <w:t xml:space="preserve">Employees of the council may be members of the Local Government Pension Scheme administered by Derbyshire County Council. The scheme provides defined benefits to members (retirement lump sums and pensions) earned as employees worked for the council. </w:t>
      </w:r>
    </w:p>
    <w:p w14:paraId="3C63A094" w14:textId="77777777" w:rsidR="00985055" w:rsidRPr="00183434" w:rsidRDefault="00985055" w:rsidP="00183434">
      <w:pPr>
        <w:jc w:val="both"/>
        <w:rPr>
          <w:rFonts w:cs="Arial"/>
          <w:sz w:val="23"/>
          <w:szCs w:val="23"/>
        </w:rPr>
      </w:pPr>
    </w:p>
    <w:p w14:paraId="551434CB" w14:textId="77777777" w:rsidR="00985055" w:rsidRPr="00183434" w:rsidRDefault="00985055" w:rsidP="00183434">
      <w:pPr>
        <w:ind w:left="720"/>
        <w:jc w:val="both"/>
        <w:rPr>
          <w:rFonts w:cs="Arial"/>
          <w:sz w:val="23"/>
          <w:szCs w:val="23"/>
          <w:u w:val="single"/>
        </w:rPr>
      </w:pPr>
      <w:r w:rsidRPr="00183434">
        <w:rPr>
          <w:rFonts w:cs="Arial"/>
          <w:sz w:val="23"/>
          <w:szCs w:val="23"/>
          <w:u w:val="single"/>
        </w:rPr>
        <w:t>The Local Government Pension Scheme</w:t>
      </w:r>
    </w:p>
    <w:p w14:paraId="033A2039" w14:textId="77777777" w:rsidR="00985055" w:rsidRPr="00183434" w:rsidRDefault="00985055" w:rsidP="00183434">
      <w:pPr>
        <w:ind w:left="720"/>
        <w:jc w:val="both"/>
        <w:rPr>
          <w:rFonts w:cs="Arial"/>
          <w:sz w:val="23"/>
          <w:szCs w:val="23"/>
        </w:rPr>
      </w:pPr>
    </w:p>
    <w:p w14:paraId="67F2E154" w14:textId="77777777" w:rsidR="00985055" w:rsidRPr="00183434" w:rsidRDefault="00985055" w:rsidP="00183434">
      <w:pPr>
        <w:ind w:left="720"/>
        <w:jc w:val="both"/>
        <w:rPr>
          <w:rFonts w:cs="Arial"/>
          <w:sz w:val="23"/>
          <w:szCs w:val="23"/>
        </w:rPr>
      </w:pPr>
      <w:r w:rsidRPr="00183434">
        <w:rPr>
          <w:rFonts w:cs="Arial"/>
          <w:sz w:val="23"/>
          <w:szCs w:val="23"/>
        </w:rPr>
        <w:t>The liabilities of the pension scheme attributable to the council are included in the balance sheet on an actuarial basis using the projected unit method – ie an assessment of future payments that will be made in relation to retirement benefits earned to date by employees, based on assumptions about mortality rates, employee turnover rates, projected earnings etc.</w:t>
      </w:r>
    </w:p>
    <w:p w14:paraId="6BBB3D50" w14:textId="77777777" w:rsidR="00985055" w:rsidRPr="00183434" w:rsidRDefault="00985055" w:rsidP="00183434">
      <w:pPr>
        <w:ind w:left="720"/>
        <w:jc w:val="both"/>
        <w:rPr>
          <w:rFonts w:cs="Arial"/>
          <w:sz w:val="23"/>
          <w:szCs w:val="23"/>
        </w:rPr>
      </w:pPr>
    </w:p>
    <w:p w14:paraId="092C2931" w14:textId="77777777" w:rsidR="00985055" w:rsidRPr="00183434" w:rsidRDefault="00985055" w:rsidP="00183434">
      <w:pPr>
        <w:ind w:left="720"/>
        <w:jc w:val="both"/>
        <w:rPr>
          <w:rFonts w:cs="Arial"/>
          <w:sz w:val="23"/>
          <w:szCs w:val="23"/>
        </w:rPr>
      </w:pPr>
      <w:r w:rsidRPr="00183434">
        <w:rPr>
          <w:rFonts w:cs="Arial"/>
          <w:sz w:val="23"/>
          <w:szCs w:val="23"/>
        </w:rPr>
        <w:t>The assets of the pension scheme attributable to the council are included in the balance sheet at their fair value:</w:t>
      </w:r>
    </w:p>
    <w:p w14:paraId="7E34EB7A" w14:textId="77777777" w:rsidR="00985055" w:rsidRPr="00183434" w:rsidRDefault="00985055" w:rsidP="00183434">
      <w:pPr>
        <w:ind w:left="720"/>
        <w:jc w:val="both"/>
        <w:rPr>
          <w:rFonts w:cs="Arial"/>
          <w:sz w:val="23"/>
          <w:szCs w:val="23"/>
        </w:rPr>
      </w:pPr>
      <w:r w:rsidRPr="00183434">
        <w:rPr>
          <w:rFonts w:cs="Arial"/>
          <w:sz w:val="23"/>
          <w:szCs w:val="23"/>
        </w:rPr>
        <w:tab/>
      </w:r>
    </w:p>
    <w:p w14:paraId="4F3AADBE" w14:textId="77777777" w:rsidR="00985055" w:rsidRPr="00183434" w:rsidRDefault="00985055" w:rsidP="00183434">
      <w:pPr>
        <w:ind w:left="720"/>
        <w:jc w:val="both"/>
        <w:rPr>
          <w:rFonts w:cs="Arial"/>
          <w:sz w:val="23"/>
          <w:szCs w:val="23"/>
        </w:rPr>
      </w:pPr>
      <w:r w:rsidRPr="00183434">
        <w:rPr>
          <w:rFonts w:cs="Arial"/>
          <w:sz w:val="23"/>
          <w:szCs w:val="23"/>
        </w:rPr>
        <w:tab/>
        <w:t>Quoted securities</w:t>
      </w:r>
      <w:r w:rsidRPr="00183434">
        <w:rPr>
          <w:rFonts w:cs="Arial"/>
          <w:sz w:val="23"/>
          <w:szCs w:val="23"/>
        </w:rPr>
        <w:tab/>
      </w:r>
      <w:r w:rsidRPr="00183434">
        <w:rPr>
          <w:rFonts w:cs="Arial"/>
          <w:sz w:val="23"/>
          <w:szCs w:val="23"/>
        </w:rPr>
        <w:tab/>
        <w:t>current bid price</w:t>
      </w:r>
    </w:p>
    <w:p w14:paraId="192826C5" w14:textId="77777777" w:rsidR="00985055" w:rsidRPr="00183434" w:rsidRDefault="00985055" w:rsidP="00183434">
      <w:pPr>
        <w:ind w:left="720"/>
        <w:jc w:val="both"/>
        <w:rPr>
          <w:rFonts w:cs="Arial"/>
          <w:sz w:val="23"/>
          <w:szCs w:val="23"/>
        </w:rPr>
      </w:pPr>
      <w:r w:rsidRPr="00183434">
        <w:rPr>
          <w:rFonts w:cs="Arial"/>
          <w:sz w:val="23"/>
          <w:szCs w:val="23"/>
        </w:rPr>
        <w:tab/>
        <w:t xml:space="preserve">Unquoted securities </w:t>
      </w:r>
      <w:r w:rsidRPr="00183434">
        <w:rPr>
          <w:rFonts w:cs="Arial"/>
          <w:sz w:val="23"/>
          <w:szCs w:val="23"/>
        </w:rPr>
        <w:tab/>
      </w:r>
      <w:r w:rsidRPr="00183434">
        <w:rPr>
          <w:rFonts w:cs="Arial"/>
          <w:sz w:val="23"/>
          <w:szCs w:val="23"/>
        </w:rPr>
        <w:tab/>
        <w:t>professional estimate</w:t>
      </w:r>
    </w:p>
    <w:p w14:paraId="346417C1" w14:textId="77777777" w:rsidR="00985055" w:rsidRPr="00183434" w:rsidRDefault="00985055" w:rsidP="00183434">
      <w:pPr>
        <w:ind w:left="720"/>
        <w:jc w:val="both"/>
        <w:rPr>
          <w:rFonts w:cs="Arial"/>
          <w:sz w:val="23"/>
          <w:szCs w:val="23"/>
        </w:rPr>
      </w:pPr>
      <w:r w:rsidRPr="00183434">
        <w:rPr>
          <w:rFonts w:cs="Arial"/>
          <w:sz w:val="23"/>
          <w:szCs w:val="23"/>
        </w:rPr>
        <w:tab/>
        <w:t xml:space="preserve">Unitised securities </w:t>
      </w:r>
      <w:r w:rsidRPr="00183434">
        <w:rPr>
          <w:rFonts w:cs="Arial"/>
          <w:sz w:val="23"/>
          <w:szCs w:val="23"/>
        </w:rPr>
        <w:tab/>
      </w:r>
      <w:r w:rsidRPr="00183434">
        <w:rPr>
          <w:rFonts w:cs="Arial"/>
          <w:sz w:val="23"/>
          <w:szCs w:val="23"/>
        </w:rPr>
        <w:tab/>
        <w:t>current bid price</w:t>
      </w:r>
    </w:p>
    <w:p w14:paraId="7EF005D3" w14:textId="77777777" w:rsidR="00985055" w:rsidRPr="00183434" w:rsidRDefault="00985055" w:rsidP="00183434">
      <w:pPr>
        <w:ind w:left="720"/>
        <w:jc w:val="both"/>
        <w:rPr>
          <w:rFonts w:cs="Arial"/>
          <w:sz w:val="23"/>
          <w:szCs w:val="23"/>
        </w:rPr>
      </w:pPr>
      <w:r w:rsidRPr="00183434">
        <w:rPr>
          <w:rFonts w:cs="Arial"/>
          <w:sz w:val="23"/>
          <w:szCs w:val="23"/>
        </w:rPr>
        <w:tab/>
        <w:t xml:space="preserve">Property </w:t>
      </w:r>
      <w:r w:rsidRPr="00183434">
        <w:rPr>
          <w:rFonts w:cs="Arial"/>
          <w:sz w:val="23"/>
          <w:szCs w:val="23"/>
        </w:rPr>
        <w:tab/>
      </w:r>
      <w:r w:rsidRPr="00183434">
        <w:rPr>
          <w:rFonts w:cs="Arial"/>
          <w:sz w:val="23"/>
          <w:szCs w:val="23"/>
        </w:rPr>
        <w:tab/>
      </w:r>
      <w:r w:rsidRPr="00183434">
        <w:rPr>
          <w:rFonts w:cs="Arial"/>
          <w:sz w:val="23"/>
          <w:szCs w:val="23"/>
        </w:rPr>
        <w:tab/>
        <w:t>market value</w:t>
      </w:r>
    </w:p>
    <w:p w14:paraId="591C7121" w14:textId="77777777" w:rsidR="00985055" w:rsidRPr="00183434" w:rsidRDefault="00985055" w:rsidP="00183434">
      <w:pPr>
        <w:ind w:left="720"/>
        <w:jc w:val="both"/>
        <w:rPr>
          <w:rFonts w:cs="Arial"/>
          <w:sz w:val="23"/>
          <w:szCs w:val="23"/>
          <w:highlight w:val="cyan"/>
        </w:rPr>
      </w:pPr>
    </w:p>
    <w:p w14:paraId="332CD408" w14:textId="77777777" w:rsidR="00985055" w:rsidRPr="00183434" w:rsidRDefault="00985055" w:rsidP="00183434">
      <w:pPr>
        <w:ind w:left="720"/>
        <w:jc w:val="both"/>
        <w:rPr>
          <w:rFonts w:cs="Arial"/>
          <w:sz w:val="23"/>
          <w:szCs w:val="23"/>
        </w:rPr>
      </w:pPr>
      <w:r w:rsidRPr="00183434">
        <w:rPr>
          <w:rFonts w:cs="Arial"/>
          <w:sz w:val="23"/>
          <w:szCs w:val="23"/>
        </w:rPr>
        <w:t xml:space="preserve">The change in the net </w:t>
      </w:r>
      <w:proofErr w:type="gramStart"/>
      <w:r w:rsidRPr="00183434">
        <w:rPr>
          <w:rFonts w:cs="Arial"/>
          <w:sz w:val="23"/>
          <w:szCs w:val="23"/>
        </w:rPr>
        <w:t>pensions</w:t>
      </w:r>
      <w:proofErr w:type="gramEnd"/>
      <w:r w:rsidRPr="00183434">
        <w:rPr>
          <w:rFonts w:cs="Arial"/>
          <w:sz w:val="23"/>
          <w:szCs w:val="23"/>
        </w:rPr>
        <w:t xml:space="preserve"> liability is analysed into the following components:</w:t>
      </w:r>
    </w:p>
    <w:p w14:paraId="59CF16F7" w14:textId="77777777" w:rsidR="00985055" w:rsidRPr="00183434" w:rsidRDefault="00985055" w:rsidP="00183434">
      <w:pPr>
        <w:numPr>
          <w:ilvl w:val="0"/>
          <w:numId w:val="25"/>
        </w:numPr>
        <w:jc w:val="both"/>
        <w:rPr>
          <w:rFonts w:cs="Arial"/>
          <w:sz w:val="23"/>
          <w:szCs w:val="23"/>
        </w:rPr>
      </w:pPr>
      <w:r w:rsidRPr="00183434">
        <w:rPr>
          <w:rFonts w:cs="Arial"/>
          <w:sz w:val="23"/>
          <w:szCs w:val="23"/>
        </w:rPr>
        <w:t>Current service cost – the increase in liabilities because of years of service earned this year – allocated in the Comprehensive Income &amp; Expenditure Statement to the revenue accounts of services for which the employees worked</w:t>
      </w:r>
    </w:p>
    <w:p w14:paraId="78B0D652" w14:textId="77777777" w:rsidR="00985055" w:rsidRPr="00183434" w:rsidRDefault="00985055" w:rsidP="00183434">
      <w:pPr>
        <w:ind w:left="720"/>
        <w:jc w:val="both"/>
        <w:rPr>
          <w:rFonts w:cs="Arial"/>
          <w:sz w:val="23"/>
          <w:szCs w:val="23"/>
          <w:highlight w:val="cyan"/>
        </w:rPr>
      </w:pPr>
    </w:p>
    <w:p w14:paraId="331B0AC4" w14:textId="77777777" w:rsidR="00985055" w:rsidRPr="00183434" w:rsidRDefault="00985055" w:rsidP="00183434">
      <w:pPr>
        <w:numPr>
          <w:ilvl w:val="0"/>
          <w:numId w:val="25"/>
        </w:numPr>
        <w:jc w:val="both"/>
        <w:rPr>
          <w:rFonts w:cs="Arial"/>
          <w:sz w:val="23"/>
          <w:szCs w:val="23"/>
        </w:rPr>
      </w:pPr>
      <w:r w:rsidRPr="00183434">
        <w:rPr>
          <w:rFonts w:cs="Arial"/>
          <w:sz w:val="23"/>
          <w:szCs w:val="23"/>
        </w:rPr>
        <w:t xml:space="preserve">Past service cost – the increase in liabilities because of a scheme amendment or curtailment whose effect relates to years of service earned in earlier years – </w:t>
      </w:r>
      <w:r w:rsidRPr="00183434">
        <w:rPr>
          <w:rFonts w:cs="Arial"/>
          <w:sz w:val="23"/>
          <w:szCs w:val="23"/>
        </w:rPr>
        <w:lastRenderedPageBreak/>
        <w:t xml:space="preserve">debited to the Surplus or Deficit on the Provision of Services in the Comprehensive Income &amp; Expenditure Statement </w:t>
      </w:r>
    </w:p>
    <w:p w14:paraId="2F78C829" w14:textId="77777777" w:rsidR="00985055" w:rsidRPr="00183434" w:rsidRDefault="00985055" w:rsidP="00183434">
      <w:pPr>
        <w:ind w:left="720"/>
        <w:jc w:val="both"/>
        <w:rPr>
          <w:rFonts w:cs="Arial"/>
          <w:sz w:val="23"/>
          <w:szCs w:val="23"/>
        </w:rPr>
      </w:pPr>
    </w:p>
    <w:p w14:paraId="47A3A742" w14:textId="77777777" w:rsidR="00985055" w:rsidRPr="00183434" w:rsidRDefault="00985055" w:rsidP="00183434">
      <w:pPr>
        <w:numPr>
          <w:ilvl w:val="0"/>
          <w:numId w:val="25"/>
        </w:numPr>
        <w:jc w:val="both"/>
        <w:rPr>
          <w:rFonts w:cs="Arial"/>
          <w:sz w:val="23"/>
          <w:szCs w:val="23"/>
        </w:rPr>
      </w:pPr>
      <w:r w:rsidRPr="00183434">
        <w:rPr>
          <w:rFonts w:cs="Arial"/>
          <w:sz w:val="23"/>
          <w:szCs w:val="23"/>
        </w:rPr>
        <w:t>Net interest on the net defined benefit liability (i.e. net interest expense for the Authority) – the change during the period in the net defined benefit liability that arises from the passage of time charged to the Financing and Investment Income and Expenditure line in the Comprehensive Income &amp; Expenditure Statement – this is calculated by applying the discount rate used to measure the defined benefit obligation at the beginning of the period to the net defined benefit liability at the beginning of the period - taking into account any changes in the net defined benefit liability during the period as a result of contributions and benefit payments</w:t>
      </w:r>
    </w:p>
    <w:p w14:paraId="6C546B10" w14:textId="77777777" w:rsidR="00985055" w:rsidRPr="00183434" w:rsidRDefault="00985055" w:rsidP="00183434">
      <w:pPr>
        <w:ind w:left="720"/>
        <w:jc w:val="both"/>
        <w:rPr>
          <w:rFonts w:cs="Arial"/>
          <w:sz w:val="23"/>
          <w:szCs w:val="23"/>
        </w:rPr>
      </w:pPr>
    </w:p>
    <w:p w14:paraId="7D9C27B7" w14:textId="77777777" w:rsidR="00985055" w:rsidRPr="00183434" w:rsidRDefault="00985055" w:rsidP="00183434">
      <w:pPr>
        <w:numPr>
          <w:ilvl w:val="0"/>
          <w:numId w:val="25"/>
        </w:numPr>
        <w:jc w:val="both"/>
        <w:rPr>
          <w:rFonts w:cs="Arial"/>
          <w:sz w:val="23"/>
          <w:szCs w:val="23"/>
        </w:rPr>
      </w:pPr>
      <w:r w:rsidRPr="00183434">
        <w:rPr>
          <w:rFonts w:cs="Arial"/>
          <w:sz w:val="23"/>
          <w:szCs w:val="23"/>
        </w:rPr>
        <w:t>Remeasurements comprising:</w:t>
      </w:r>
    </w:p>
    <w:p w14:paraId="6AAC8EB0" w14:textId="77777777" w:rsidR="00985055" w:rsidRPr="00183434" w:rsidRDefault="00985055" w:rsidP="00183434">
      <w:pPr>
        <w:jc w:val="both"/>
        <w:rPr>
          <w:rFonts w:cs="Arial"/>
          <w:sz w:val="23"/>
          <w:szCs w:val="23"/>
        </w:rPr>
      </w:pPr>
    </w:p>
    <w:p w14:paraId="78EAF5D6" w14:textId="77777777" w:rsidR="00985055" w:rsidRPr="00183434" w:rsidRDefault="00985055" w:rsidP="00183434">
      <w:pPr>
        <w:numPr>
          <w:ilvl w:val="1"/>
          <w:numId w:val="25"/>
        </w:numPr>
        <w:jc w:val="both"/>
        <w:rPr>
          <w:rFonts w:cs="Arial"/>
          <w:sz w:val="23"/>
          <w:szCs w:val="23"/>
        </w:rPr>
      </w:pPr>
      <w:r w:rsidRPr="00183434">
        <w:rPr>
          <w:rFonts w:cs="Arial"/>
          <w:sz w:val="23"/>
          <w:szCs w:val="23"/>
        </w:rPr>
        <w:t>The return on plan assets – excluding amounts included in net interest on the net defined benefit liability – charged to the Pensions Reserve as Other Comprehensive Income &amp; Expenditure</w:t>
      </w:r>
    </w:p>
    <w:p w14:paraId="68E61544" w14:textId="77777777" w:rsidR="00985055" w:rsidRPr="00183434" w:rsidRDefault="00985055" w:rsidP="00183434">
      <w:pPr>
        <w:jc w:val="both"/>
        <w:rPr>
          <w:rFonts w:cs="Arial"/>
          <w:sz w:val="23"/>
          <w:szCs w:val="23"/>
        </w:rPr>
      </w:pPr>
    </w:p>
    <w:p w14:paraId="5DCABBBA" w14:textId="77777777" w:rsidR="00985055" w:rsidRPr="00183434" w:rsidRDefault="00985055" w:rsidP="00183434">
      <w:pPr>
        <w:numPr>
          <w:ilvl w:val="1"/>
          <w:numId w:val="25"/>
        </w:numPr>
        <w:jc w:val="both"/>
        <w:rPr>
          <w:rFonts w:cs="Arial"/>
          <w:sz w:val="23"/>
          <w:szCs w:val="23"/>
        </w:rPr>
      </w:pPr>
      <w:r w:rsidRPr="00183434">
        <w:rPr>
          <w:rFonts w:cs="Arial"/>
          <w:sz w:val="23"/>
          <w:szCs w:val="23"/>
        </w:rPr>
        <w:t>Actuarial gains and losses - changes in the net pensions liability that arise because events have not coincided with assumptions made at the last actuarial valuation or because the actuaries have updated their assumptions – charged to the Pensions Reserve as Other Comprehensive Income &amp; Expenditure</w:t>
      </w:r>
    </w:p>
    <w:p w14:paraId="4590A93C" w14:textId="77777777" w:rsidR="00985055" w:rsidRPr="00183434" w:rsidRDefault="00985055" w:rsidP="00183434">
      <w:pPr>
        <w:jc w:val="both"/>
        <w:rPr>
          <w:rFonts w:cs="Arial"/>
          <w:sz w:val="23"/>
          <w:szCs w:val="23"/>
          <w:highlight w:val="cyan"/>
        </w:rPr>
      </w:pPr>
    </w:p>
    <w:p w14:paraId="59B93464" w14:textId="77777777" w:rsidR="00985055" w:rsidRPr="00183434" w:rsidRDefault="00985055" w:rsidP="00183434">
      <w:pPr>
        <w:numPr>
          <w:ilvl w:val="0"/>
          <w:numId w:val="25"/>
        </w:numPr>
        <w:jc w:val="both"/>
        <w:rPr>
          <w:rFonts w:cs="Arial"/>
          <w:sz w:val="23"/>
          <w:szCs w:val="23"/>
        </w:rPr>
      </w:pPr>
      <w:r w:rsidRPr="00183434">
        <w:rPr>
          <w:rFonts w:cs="Arial"/>
          <w:sz w:val="23"/>
          <w:szCs w:val="23"/>
        </w:rPr>
        <w:t>Contributions paid to Derbyshire County Council pension fund - cash paid as employer’s contributions to the pension fund in settlement of liabilities; not accounted for as an expense</w:t>
      </w:r>
    </w:p>
    <w:p w14:paraId="311BD91D" w14:textId="77777777" w:rsidR="00985055" w:rsidRPr="00183434" w:rsidRDefault="00985055" w:rsidP="00183434">
      <w:pPr>
        <w:ind w:left="720"/>
        <w:jc w:val="both"/>
        <w:rPr>
          <w:rFonts w:cs="Arial"/>
          <w:sz w:val="23"/>
          <w:szCs w:val="23"/>
        </w:rPr>
      </w:pPr>
    </w:p>
    <w:p w14:paraId="1464FFE2" w14:textId="77777777" w:rsidR="00985055" w:rsidRPr="00183434" w:rsidRDefault="00985055" w:rsidP="00183434">
      <w:pPr>
        <w:ind w:left="720"/>
        <w:jc w:val="both"/>
        <w:rPr>
          <w:rFonts w:cs="Arial"/>
          <w:sz w:val="23"/>
          <w:szCs w:val="23"/>
        </w:rPr>
      </w:pPr>
      <w:r w:rsidRPr="00183434">
        <w:rPr>
          <w:rFonts w:cs="Arial"/>
          <w:sz w:val="23"/>
          <w:szCs w:val="23"/>
        </w:rPr>
        <w:t>In relation to retirement benefits, statutory provisions require the General Fund Balance to be charged with the amount payable by the Council to the pension fund in the year. In the Movement in Reserves Statement, this means that there are appropriations to and from the Pensions Reserve to remove the notional debits and credits for retirement benefits and replace them with debits for the cash paid to the pension fund and any amounts payable to the fund but unpaid at the year end.</w:t>
      </w:r>
    </w:p>
    <w:p w14:paraId="01B94C7C" w14:textId="77777777" w:rsidR="00985055" w:rsidRPr="00183434" w:rsidRDefault="00985055" w:rsidP="00183434">
      <w:pPr>
        <w:jc w:val="both"/>
        <w:rPr>
          <w:rFonts w:cs="Arial"/>
          <w:sz w:val="23"/>
          <w:szCs w:val="23"/>
          <w:highlight w:val="cyan"/>
        </w:rPr>
      </w:pPr>
    </w:p>
    <w:p w14:paraId="3CB7DA2F" w14:textId="77777777" w:rsidR="00985055" w:rsidRPr="00183434" w:rsidRDefault="00985055" w:rsidP="00183434">
      <w:pPr>
        <w:jc w:val="both"/>
        <w:rPr>
          <w:rFonts w:cs="Arial"/>
          <w:b/>
          <w:sz w:val="23"/>
          <w:szCs w:val="23"/>
          <w:u w:val="single"/>
        </w:rPr>
      </w:pPr>
      <w:r w:rsidRPr="00183434">
        <w:rPr>
          <w:rFonts w:cs="Arial"/>
          <w:b/>
          <w:sz w:val="23"/>
          <w:szCs w:val="23"/>
        </w:rPr>
        <w:t>1.7</w:t>
      </w:r>
      <w:r w:rsidRPr="00183434">
        <w:rPr>
          <w:rFonts w:cs="Arial"/>
          <w:sz w:val="23"/>
          <w:szCs w:val="23"/>
        </w:rPr>
        <w:tab/>
      </w:r>
      <w:r w:rsidRPr="00183434">
        <w:rPr>
          <w:rFonts w:cs="Arial"/>
          <w:b/>
          <w:sz w:val="23"/>
          <w:szCs w:val="23"/>
          <w:u w:val="single"/>
        </w:rPr>
        <w:t>REVENUE RECOGNITION</w:t>
      </w:r>
    </w:p>
    <w:p w14:paraId="743A0C33" w14:textId="77777777" w:rsidR="00985055" w:rsidRPr="00183434" w:rsidRDefault="00985055" w:rsidP="00183434">
      <w:pPr>
        <w:jc w:val="both"/>
        <w:rPr>
          <w:rFonts w:cs="Arial"/>
          <w:b/>
          <w:sz w:val="23"/>
          <w:szCs w:val="23"/>
          <w:u w:val="single"/>
        </w:rPr>
      </w:pPr>
    </w:p>
    <w:p w14:paraId="71F2EA2C" w14:textId="77777777" w:rsidR="00985055" w:rsidRPr="00183434" w:rsidRDefault="00985055" w:rsidP="00183434">
      <w:pPr>
        <w:ind w:left="720"/>
        <w:jc w:val="both"/>
        <w:rPr>
          <w:rFonts w:cs="Arial"/>
          <w:sz w:val="23"/>
          <w:szCs w:val="23"/>
        </w:rPr>
      </w:pPr>
      <w:r w:rsidRPr="00183434">
        <w:rPr>
          <w:rFonts w:cs="Arial"/>
          <w:sz w:val="23"/>
          <w:szCs w:val="23"/>
        </w:rPr>
        <w:t>Revenue is defined as income arising because of the Council’s normal operating activities and where income arises from contracts with service recipients. It is recognised when or as the Council has satisfied a performance obligation by transferring a promised good or service to the service recipient.</w:t>
      </w:r>
    </w:p>
    <w:p w14:paraId="0F0E9EB0" w14:textId="77777777" w:rsidR="00985055" w:rsidRPr="00183434" w:rsidRDefault="00985055" w:rsidP="00183434">
      <w:pPr>
        <w:ind w:left="720"/>
        <w:jc w:val="both"/>
        <w:rPr>
          <w:rFonts w:cs="Arial"/>
          <w:sz w:val="23"/>
          <w:szCs w:val="23"/>
          <w:highlight w:val="cyan"/>
        </w:rPr>
      </w:pPr>
    </w:p>
    <w:p w14:paraId="3EEA6D6D" w14:textId="77777777" w:rsidR="00985055" w:rsidRPr="00183434" w:rsidRDefault="00985055" w:rsidP="00183434">
      <w:pPr>
        <w:ind w:left="720"/>
        <w:jc w:val="both"/>
        <w:rPr>
          <w:rFonts w:cs="Arial"/>
          <w:sz w:val="23"/>
          <w:szCs w:val="23"/>
        </w:rPr>
      </w:pPr>
      <w:r w:rsidRPr="00183434">
        <w:rPr>
          <w:rFonts w:cs="Arial"/>
          <w:sz w:val="23"/>
          <w:szCs w:val="23"/>
        </w:rPr>
        <w:t>Revenue is measured as the amount of the transaction price which is allocated to that performance obligation.</w:t>
      </w:r>
    </w:p>
    <w:p w14:paraId="4274BDDF" w14:textId="77777777" w:rsidR="00985055" w:rsidRPr="00183434" w:rsidRDefault="00985055" w:rsidP="00183434">
      <w:pPr>
        <w:ind w:left="720"/>
        <w:jc w:val="both"/>
        <w:rPr>
          <w:rFonts w:cs="Arial"/>
          <w:sz w:val="23"/>
          <w:szCs w:val="23"/>
          <w:highlight w:val="cyan"/>
        </w:rPr>
      </w:pPr>
    </w:p>
    <w:p w14:paraId="13A4F499" w14:textId="77777777" w:rsidR="00985055" w:rsidRPr="00183434" w:rsidRDefault="00985055" w:rsidP="00183434">
      <w:pPr>
        <w:jc w:val="both"/>
        <w:rPr>
          <w:rFonts w:cs="Arial"/>
          <w:b/>
          <w:sz w:val="23"/>
          <w:szCs w:val="23"/>
          <w:u w:val="single"/>
        </w:rPr>
      </w:pPr>
      <w:r w:rsidRPr="00183434">
        <w:rPr>
          <w:rFonts w:cs="Arial"/>
          <w:b/>
          <w:sz w:val="23"/>
          <w:szCs w:val="23"/>
        </w:rPr>
        <w:t>1.8</w:t>
      </w:r>
      <w:r w:rsidRPr="00183434">
        <w:rPr>
          <w:rFonts w:cs="Arial"/>
          <w:b/>
          <w:sz w:val="23"/>
          <w:szCs w:val="23"/>
        </w:rPr>
        <w:tab/>
      </w:r>
      <w:r w:rsidRPr="00183434">
        <w:rPr>
          <w:rFonts w:cs="Arial"/>
          <w:b/>
          <w:sz w:val="23"/>
          <w:szCs w:val="23"/>
          <w:u w:val="single"/>
        </w:rPr>
        <w:t>VALUE ADDED TAX</w:t>
      </w:r>
    </w:p>
    <w:p w14:paraId="3A484A3A" w14:textId="77777777" w:rsidR="00985055" w:rsidRPr="00183434" w:rsidRDefault="00985055" w:rsidP="00183434">
      <w:pPr>
        <w:ind w:firstLine="709"/>
        <w:jc w:val="both"/>
        <w:rPr>
          <w:rFonts w:cs="Arial"/>
          <w:b/>
          <w:sz w:val="23"/>
          <w:szCs w:val="23"/>
          <w:u w:val="single"/>
        </w:rPr>
      </w:pPr>
      <w:r w:rsidRPr="00183434">
        <w:rPr>
          <w:rFonts w:cs="Arial"/>
          <w:b/>
          <w:sz w:val="23"/>
          <w:szCs w:val="23"/>
          <w:u w:val="single"/>
        </w:rPr>
        <w:t xml:space="preserve"> </w:t>
      </w:r>
    </w:p>
    <w:p w14:paraId="02547934" w14:textId="77777777" w:rsidR="00985055" w:rsidRPr="00183434" w:rsidRDefault="00985055" w:rsidP="00183434">
      <w:pPr>
        <w:tabs>
          <w:tab w:val="num" w:pos="709"/>
        </w:tabs>
        <w:ind w:left="709"/>
        <w:jc w:val="both"/>
        <w:rPr>
          <w:rFonts w:cs="Arial"/>
          <w:sz w:val="23"/>
          <w:szCs w:val="23"/>
        </w:rPr>
      </w:pPr>
      <w:r w:rsidRPr="00183434">
        <w:rPr>
          <w:rFonts w:cs="Arial"/>
          <w:sz w:val="23"/>
          <w:szCs w:val="23"/>
        </w:rPr>
        <w:t>Value added tax (VAT) is only included in the Council's accounts to the extent that it is not recoverable from HM Revenue &amp; Customs.</w:t>
      </w:r>
    </w:p>
    <w:p w14:paraId="7DBA631A" w14:textId="77777777" w:rsidR="00985055" w:rsidRPr="00183434" w:rsidRDefault="00985055" w:rsidP="00183434">
      <w:pPr>
        <w:tabs>
          <w:tab w:val="num" w:pos="709"/>
        </w:tabs>
        <w:ind w:left="709"/>
        <w:jc w:val="both"/>
        <w:rPr>
          <w:rFonts w:cs="Arial"/>
          <w:sz w:val="23"/>
          <w:szCs w:val="23"/>
        </w:rPr>
      </w:pPr>
    </w:p>
    <w:p w14:paraId="7278EAE2" w14:textId="77777777" w:rsidR="00985055" w:rsidRPr="00183434" w:rsidRDefault="00985055" w:rsidP="00183434">
      <w:pPr>
        <w:tabs>
          <w:tab w:val="num" w:pos="709"/>
        </w:tabs>
        <w:ind w:left="709"/>
        <w:jc w:val="both"/>
        <w:rPr>
          <w:rFonts w:cs="Arial"/>
          <w:sz w:val="23"/>
          <w:szCs w:val="23"/>
        </w:rPr>
      </w:pPr>
    </w:p>
    <w:p w14:paraId="23D7DC69" w14:textId="77777777" w:rsidR="00985055" w:rsidRPr="00183434" w:rsidRDefault="00985055" w:rsidP="00183434">
      <w:pPr>
        <w:jc w:val="both"/>
        <w:rPr>
          <w:rFonts w:cs="Arial"/>
          <w:b/>
          <w:sz w:val="23"/>
          <w:szCs w:val="23"/>
        </w:rPr>
      </w:pPr>
      <w:r w:rsidRPr="00183434">
        <w:rPr>
          <w:rFonts w:cs="Arial"/>
          <w:b/>
          <w:sz w:val="23"/>
          <w:szCs w:val="23"/>
        </w:rPr>
        <w:t>1.9</w:t>
      </w:r>
      <w:r w:rsidRPr="00183434">
        <w:rPr>
          <w:rFonts w:cs="Arial"/>
          <w:b/>
          <w:sz w:val="23"/>
          <w:szCs w:val="23"/>
        </w:rPr>
        <w:tab/>
      </w:r>
      <w:r w:rsidRPr="00183434">
        <w:rPr>
          <w:rFonts w:cs="Arial"/>
          <w:b/>
          <w:sz w:val="23"/>
          <w:szCs w:val="23"/>
          <w:u w:val="single"/>
        </w:rPr>
        <w:t>EVENTS AFTER THE BALANCE SHEET DATE</w:t>
      </w:r>
    </w:p>
    <w:p w14:paraId="2B2F68CF" w14:textId="77777777" w:rsidR="00985055" w:rsidRPr="00183434" w:rsidRDefault="00985055" w:rsidP="00183434">
      <w:pPr>
        <w:jc w:val="both"/>
        <w:rPr>
          <w:rFonts w:cs="Arial"/>
          <w:b/>
          <w:sz w:val="23"/>
          <w:szCs w:val="23"/>
          <w:u w:val="single"/>
        </w:rPr>
      </w:pPr>
    </w:p>
    <w:p w14:paraId="54D49DAC" w14:textId="77777777" w:rsidR="00985055" w:rsidRPr="00183434" w:rsidRDefault="00985055" w:rsidP="00183434">
      <w:pPr>
        <w:ind w:left="720"/>
        <w:jc w:val="both"/>
        <w:rPr>
          <w:rFonts w:cs="Arial"/>
          <w:sz w:val="23"/>
          <w:szCs w:val="23"/>
        </w:rPr>
      </w:pPr>
      <w:r w:rsidRPr="00183434">
        <w:rPr>
          <w:rFonts w:cs="Arial"/>
          <w:sz w:val="23"/>
          <w:szCs w:val="23"/>
        </w:rPr>
        <w:t>These are events that occur between the end of the reporting period and the date when the Statement of Accounts is authorised for issue. Two types of events can be identified:</w:t>
      </w:r>
    </w:p>
    <w:p w14:paraId="7BB1AC78" w14:textId="77777777" w:rsidR="00985055" w:rsidRPr="00183434" w:rsidRDefault="00985055" w:rsidP="00183434">
      <w:pPr>
        <w:ind w:left="720"/>
        <w:jc w:val="both"/>
        <w:rPr>
          <w:rFonts w:cs="Arial"/>
          <w:sz w:val="23"/>
          <w:szCs w:val="23"/>
        </w:rPr>
      </w:pPr>
    </w:p>
    <w:p w14:paraId="6A326164" w14:textId="77777777" w:rsidR="00985055" w:rsidRPr="00183434" w:rsidRDefault="00985055" w:rsidP="00183434">
      <w:pPr>
        <w:numPr>
          <w:ilvl w:val="0"/>
          <w:numId w:val="7"/>
        </w:numPr>
        <w:tabs>
          <w:tab w:val="clear" w:pos="720"/>
          <w:tab w:val="num" w:pos="1080"/>
        </w:tabs>
        <w:ind w:left="1080"/>
        <w:jc w:val="both"/>
        <w:rPr>
          <w:rFonts w:cs="Arial"/>
          <w:sz w:val="23"/>
          <w:szCs w:val="23"/>
        </w:rPr>
      </w:pPr>
      <w:r w:rsidRPr="00183434">
        <w:rPr>
          <w:rFonts w:cs="Arial"/>
          <w:sz w:val="23"/>
          <w:szCs w:val="23"/>
        </w:rPr>
        <w:t>Those that provide evidence of conditions that existed at the end of the reporting period – the Statement of Accounts is adjusted to reflect these events</w:t>
      </w:r>
    </w:p>
    <w:p w14:paraId="29CF2574" w14:textId="77777777" w:rsidR="00985055" w:rsidRPr="00183434" w:rsidRDefault="00985055" w:rsidP="00183434">
      <w:pPr>
        <w:tabs>
          <w:tab w:val="num" w:pos="1080"/>
        </w:tabs>
        <w:ind w:left="720"/>
        <w:jc w:val="both"/>
        <w:rPr>
          <w:rFonts w:cs="Arial"/>
          <w:sz w:val="23"/>
          <w:szCs w:val="23"/>
        </w:rPr>
      </w:pPr>
    </w:p>
    <w:p w14:paraId="0ADC8ABE" w14:textId="77777777" w:rsidR="00985055" w:rsidRPr="00183434" w:rsidRDefault="00985055" w:rsidP="00183434">
      <w:pPr>
        <w:numPr>
          <w:ilvl w:val="0"/>
          <w:numId w:val="7"/>
        </w:numPr>
        <w:tabs>
          <w:tab w:val="clear" w:pos="720"/>
          <w:tab w:val="num" w:pos="1080"/>
        </w:tabs>
        <w:ind w:left="1080"/>
        <w:jc w:val="both"/>
        <w:rPr>
          <w:rFonts w:cs="Arial"/>
          <w:sz w:val="23"/>
          <w:szCs w:val="23"/>
        </w:rPr>
      </w:pPr>
      <w:r w:rsidRPr="00183434">
        <w:rPr>
          <w:rFonts w:cs="Arial"/>
          <w:sz w:val="23"/>
          <w:szCs w:val="23"/>
        </w:rPr>
        <w:t>Those indicative of conditions arising after the reporting period – the Statement of Accounts is not adjusted, but where the event would have a material effect, disclosure is made in the notes on the nature of the event with an estimate of the financial effect</w:t>
      </w:r>
    </w:p>
    <w:p w14:paraId="49C345F5" w14:textId="77777777" w:rsidR="00985055" w:rsidRPr="00183434" w:rsidRDefault="00985055" w:rsidP="00183434">
      <w:pPr>
        <w:jc w:val="both"/>
        <w:rPr>
          <w:rFonts w:cs="Arial"/>
          <w:sz w:val="23"/>
          <w:szCs w:val="23"/>
        </w:rPr>
      </w:pPr>
    </w:p>
    <w:p w14:paraId="635FA4EA" w14:textId="77777777" w:rsidR="00985055" w:rsidRPr="00183434" w:rsidRDefault="00985055" w:rsidP="00183434">
      <w:pPr>
        <w:ind w:left="720"/>
        <w:jc w:val="both"/>
        <w:rPr>
          <w:rFonts w:cs="Arial"/>
          <w:sz w:val="23"/>
          <w:szCs w:val="23"/>
        </w:rPr>
      </w:pPr>
      <w:r w:rsidRPr="00183434">
        <w:rPr>
          <w:rFonts w:cs="Arial"/>
          <w:sz w:val="23"/>
          <w:szCs w:val="23"/>
        </w:rPr>
        <w:t>Events taking place after the date of authorisation for issue are not reflected in the Statement of Accounts.</w:t>
      </w:r>
    </w:p>
    <w:p w14:paraId="674687D6" w14:textId="77777777" w:rsidR="00985055" w:rsidRPr="00183434" w:rsidRDefault="00985055" w:rsidP="00183434">
      <w:pPr>
        <w:pStyle w:val="Heading1"/>
        <w:jc w:val="both"/>
        <w:rPr>
          <w:rFonts w:cs="Arial"/>
          <w:sz w:val="23"/>
          <w:szCs w:val="23"/>
          <w:highlight w:val="cyan"/>
        </w:rPr>
      </w:pPr>
    </w:p>
    <w:p w14:paraId="17D60CFD"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1.10</w:t>
      </w:r>
      <w:r w:rsidRPr="00183434">
        <w:rPr>
          <w:rFonts w:cs="Arial"/>
          <w:bCs/>
          <w:color w:val="000000" w:themeColor="text1"/>
          <w:sz w:val="23"/>
          <w:szCs w:val="23"/>
          <w:u w:val="none"/>
        </w:rPr>
        <w:tab/>
      </w:r>
      <w:r w:rsidRPr="00183434">
        <w:rPr>
          <w:rFonts w:cs="Arial"/>
          <w:bCs/>
          <w:color w:val="000000" w:themeColor="text1"/>
          <w:sz w:val="23"/>
          <w:szCs w:val="23"/>
        </w:rPr>
        <w:t>INVENTORIES</w:t>
      </w:r>
    </w:p>
    <w:p w14:paraId="09BCFD23" w14:textId="77777777" w:rsidR="00985055" w:rsidRPr="00183434" w:rsidRDefault="00985055" w:rsidP="00183434">
      <w:pPr>
        <w:jc w:val="both"/>
        <w:rPr>
          <w:rFonts w:cs="Arial"/>
          <w:sz w:val="23"/>
          <w:szCs w:val="23"/>
        </w:rPr>
      </w:pPr>
    </w:p>
    <w:p w14:paraId="3247D62C" w14:textId="77777777" w:rsidR="00985055" w:rsidRPr="00183434" w:rsidRDefault="00985055" w:rsidP="00183434">
      <w:pPr>
        <w:ind w:left="720"/>
        <w:jc w:val="both"/>
        <w:rPr>
          <w:rFonts w:cs="Arial"/>
          <w:sz w:val="23"/>
          <w:szCs w:val="23"/>
        </w:rPr>
      </w:pPr>
      <w:r w:rsidRPr="00183434">
        <w:rPr>
          <w:rFonts w:cs="Arial"/>
          <w:sz w:val="23"/>
          <w:szCs w:val="23"/>
        </w:rPr>
        <w:t xml:space="preserve">Inventories are included in the Balance Sheet at cost, although the last invoice price has been used in some instances as a proxy for cost. </w:t>
      </w:r>
    </w:p>
    <w:p w14:paraId="08F02124" w14:textId="77777777" w:rsidR="00985055" w:rsidRPr="00183434" w:rsidRDefault="00985055" w:rsidP="00183434">
      <w:pPr>
        <w:pStyle w:val="Heading1"/>
        <w:jc w:val="both"/>
        <w:rPr>
          <w:rFonts w:cs="Arial"/>
          <w:sz w:val="23"/>
          <w:szCs w:val="23"/>
          <w:highlight w:val="cyan"/>
        </w:rPr>
      </w:pPr>
    </w:p>
    <w:p w14:paraId="7F341CAB"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1.11</w:t>
      </w:r>
      <w:r w:rsidRPr="00183434">
        <w:rPr>
          <w:rFonts w:cs="Arial"/>
          <w:bCs/>
          <w:color w:val="000000" w:themeColor="text1"/>
          <w:sz w:val="23"/>
          <w:szCs w:val="23"/>
          <w:u w:val="none"/>
        </w:rPr>
        <w:tab/>
      </w:r>
      <w:r w:rsidRPr="00183434">
        <w:rPr>
          <w:rFonts w:cs="Arial"/>
          <w:bCs/>
          <w:color w:val="000000" w:themeColor="text1"/>
          <w:sz w:val="23"/>
          <w:szCs w:val="23"/>
        </w:rPr>
        <w:t>RESERVES</w:t>
      </w:r>
    </w:p>
    <w:p w14:paraId="0D3CCDFA" w14:textId="77777777" w:rsidR="00985055" w:rsidRPr="00183434" w:rsidRDefault="00985055" w:rsidP="00183434">
      <w:pPr>
        <w:jc w:val="both"/>
        <w:rPr>
          <w:rFonts w:cs="Arial"/>
          <w:sz w:val="23"/>
          <w:szCs w:val="23"/>
        </w:rPr>
      </w:pPr>
    </w:p>
    <w:p w14:paraId="70B69B0D" w14:textId="77777777" w:rsidR="00985055" w:rsidRPr="00183434" w:rsidRDefault="00985055" w:rsidP="00183434">
      <w:pPr>
        <w:ind w:left="720"/>
        <w:jc w:val="both"/>
        <w:rPr>
          <w:rFonts w:cs="Arial"/>
          <w:sz w:val="23"/>
          <w:szCs w:val="23"/>
        </w:rPr>
      </w:pPr>
      <w:r w:rsidRPr="00183434">
        <w:rPr>
          <w:rFonts w:cs="Arial"/>
          <w:sz w:val="23"/>
          <w:szCs w:val="23"/>
        </w:rPr>
        <w:t>The Council sets aside specific amounts as reserves for future policy purposes to cover contingencies. Reserves are created by transferring amounts out of the General Fund Balance. When expenditure to be financed from a reserve is incurred, it is charged to the appropriate service in that year to score against the Surplus or Deficit on the Provision of Services in the Comprehensive Income and Expenditure Statement. The reserve is then transferred back into the General Fund Balance so that there is no net charge against council tax for the expenditure.</w:t>
      </w:r>
    </w:p>
    <w:p w14:paraId="28673A82" w14:textId="77777777" w:rsidR="00985055" w:rsidRPr="00183434" w:rsidRDefault="00985055" w:rsidP="00183434">
      <w:pPr>
        <w:ind w:left="720"/>
        <w:jc w:val="both"/>
        <w:rPr>
          <w:rFonts w:cs="Arial"/>
          <w:sz w:val="23"/>
          <w:szCs w:val="23"/>
        </w:rPr>
      </w:pPr>
    </w:p>
    <w:p w14:paraId="1B3C5F93" w14:textId="77777777" w:rsidR="00985055" w:rsidRPr="00183434" w:rsidRDefault="00985055" w:rsidP="00183434">
      <w:pPr>
        <w:ind w:left="720"/>
        <w:jc w:val="both"/>
        <w:rPr>
          <w:rFonts w:cs="Arial"/>
          <w:sz w:val="23"/>
          <w:szCs w:val="23"/>
        </w:rPr>
      </w:pPr>
      <w:r w:rsidRPr="00183434">
        <w:rPr>
          <w:rFonts w:cs="Arial"/>
          <w:sz w:val="23"/>
          <w:szCs w:val="23"/>
        </w:rPr>
        <w:t xml:space="preserve">Certain reserves are kept </w:t>
      </w:r>
      <w:proofErr w:type="gramStart"/>
      <w:r w:rsidRPr="00183434">
        <w:rPr>
          <w:rFonts w:cs="Arial"/>
          <w:sz w:val="23"/>
          <w:szCs w:val="23"/>
        </w:rPr>
        <w:t>to manage</w:t>
      </w:r>
      <w:proofErr w:type="gramEnd"/>
      <w:r w:rsidRPr="00183434">
        <w:rPr>
          <w:rFonts w:cs="Arial"/>
          <w:sz w:val="23"/>
          <w:szCs w:val="23"/>
        </w:rPr>
        <w:t xml:space="preserve"> accounting processes for non-current assets, financial instruments, retirement and employee benefits and do not represent usable resources for the Council. These reserves are explained in the relevant accounting policy.</w:t>
      </w:r>
    </w:p>
    <w:p w14:paraId="762B55C7" w14:textId="77777777" w:rsidR="00985055" w:rsidRPr="00183434" w:rsidRDefault="00985055" w:rsidP="00183434">
      <w:pPr>
        <w:ind w:left="720"/>
        <w:jc w:val="both"/>
        <w:rPr>
          <w:rFonts w:cs="Arial"/>
          <w:b/>
          <w:bCs/>
          <w:color w:val="000000" w:themeColor="text1"/>
          <w:sz w:val="23"/>
          <w:szCs w:val="23"/>
          <w:highlight w:val="cyan"/>
        </w:rPr>
      </w:pPr>
    </w:p>
    <w:p w14:paraId="7786A927"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1.12</w:t>
      </w:r>
      <w:r w:rsidRPr="00183434">
        <w:rPr>
          <w:rFonts w:cs="Arial"/>
          <w:bCs/>
          <w:color w:val="000000" w:themeColor="text1"/>
          <w:sz w:val="23"/>
          <w:szCs w:val="23"/>
          <w:u w:val="none"/>
        </w:rPr>
        <w:tab/>
      </w:r>
      <w:r w:rsidRPr="00183434">
        <w:rPr>
          <w:rFonts w:cs="Arial"/>
          <w:bCs/>
          <w:color w:val="000000" w:themeColor="text1"/>
          <w:sz w:val="23"/>
          <w:szCs w:val="23"/>
        </w:rPr>
        <w:t>PROVISIONS</w:t>
      </w:r>
    </w:p>
    <w:p w14:paraId="041432BC" w14:textId="77777777" w:rsidR="00985055" w:rsidRPr="00183434" w:rsidRDefault="00985055" w:rsidP="00183434">
      <w:pPr>
        <w:jc w:val="both"/>
        <w:rPr>
          <w:rFonts w:cs="Arial"/>
          <w:sz w:val="23"/>
          <w:szCs w:val="23"/>
        </w:rPr>
      </w:pPr>
    </w:p>
    <w:p w14:paraId="15EB09A0" w14:textId="77777777" w:rsidR="00985055" w:rsidRPr="00183434" w:rsidRDefault="00985055" w:rsidP="00183434">
      <w:pPr>
        <w:ind w:left="720"/>
        <w:jc w:val="both"/>
        <w:rPr>
          <w:rFonts w:cs="Arial"/>
          <w:sz w:val="23"/>
          <w:szCs w:val="23"/>
        </w:rPr>
      </w:pPr>
      <w:r w:rsidRPr="00183434">
        <w:rPr>
          <w:rFonts w:cs="Arial"/>
          <w:sz w:val="23"/>
          <w:szCs w:val="23"/>
        </w:rPr>
        <w:t>Provisions are made where an event has taken place that gives the Authority a legal or constructive obligation that probably requires settlement by a transfer of economic benefits or service potential, and a reliable estimate of the obligation can be made.</w:t>
      </w:r>
    </w:p>
    <w:p w14:paraId="74DD02DB" w14:textId="77777777" w:rsidR="00985055" w:rsidRPr="00183434" w:rsidRDefault="00985055" w:rsidP="00183434">
      <w:pPr>
        <w:jc w:val="both"/>
        <w:rPr>
          <w:rFonts w:cs="Arial"/>
          <w:sz w:val="23"/>
          <w:szCs w:val="23"/>
        </w:rPr>
      </w:pPr>
    </w:p>
    <w:p w14:paraId="5DC3938D" w14:textId="77777777" w:rsidR="00985055" w:rsidRPr="00183434" w:rsidRDefault="00985055" w:rsidP="00183434">
      <w:pPr>
        <w:ind w:left="720"/>
        <w:jc w:val="both"/>
        <w:rPr>
          <w:rFonts w:cs="Arial"/>
          <w:sz w:val="23"/>
          <w:szCs w:val="23"/>
        </w:rPr>
      </w:pPr>
      <w:r w:rsidRPr="00183434">
        <w:rPr>
          <w:rFonts w:cs="Arial"/>
          <w:sz w:val="23"/>
          <w:szCs w:val="23"/>
        </w:rPr>
        <w:t>Provisions are charged as an expense to the appropriate service in the Comprehensive Income and Expenditure Statement in the year that the Authority becomes aware of the obligation and are measured at the best estimate at the balance sheet date of the expenditure required to settle the obligation.</w:t>
      </w:r>
    </w:p>
    <w:p w14:paraId="33007C23" w14:textId="77777777" w:rsidR="00985055" w:rsidRPr="00183434" w:rsidRDefault="00985055" w:rsidP="00183434">
      <w:pPr>
        <w:ind w:left="720"/>
        <w:jc w:val="both"/>
        <w:rPr>
          <w:rFonts w:cs="Arial"/>
          <w:sz w:val="23"/>
          <w:szCs w:val="23"/>
        </w:rPr>
      </w:pPr>
    </w:p>
    <w:p w14:paraId="34A7247B" w14:textId="77777777" w:rsidR="00985055" w:rsidRPr="00183434" w:rsidRDefault="00985055" w:rsidP="00183434">
      <w:pPr>
        <w:ind w:left="720"/>
        <w:jc w:val="both"/>
        <w:rPr>
          <w:rFonts w:cs="Arial"/>
          <w:sz w:val="23"/>
          <w:szCs w:val="23"/>
        </w:rPr>
      </w:pPr>
      <w:r w:rsidRPr="00183434">
        <w:rPr>
          <w:rFonts w:cs="Arial"/>
          <w:sz w:val="23"/>
          <w:szCs w:val="23"/>
        </w:rPr>
        <w:t>When payments are eventually made, they are charged to the provision in the Balance Sheet. The provision is reviewed at the end of each financial year and any reduction in provision is reversed and credited back to the relevant service.</w:t>
      </w:r>
    </w:p>
    <w:p w14:paraId="7E9D7141" w14:textId="77777777" w:rsidR="00985055" w:rsidRPr="00183434" w:rsidRDefault="00985055" w:rsidP="00183434">
      <w:pPr>
        <w:jc w:val="both"/>
        <w:rPr>
          <w:rFonts w:cs="Arial"/>
          <w:sz w:val="23"/>
          <w:szCs w:val="23"/>
          <w:highlight w:val="cyan"/>
        </w:rPr>
      </w:pPr>
    </w:p>
    <w:p w14:paraId="790ED18E" w14:textId="77777777" w:rsidR="00985055" w:rsidRPr="00183434" w:rsidRDefault="00985055" w:rsidP="00183434">
      <w:pPr>
        <w:jc w:val="both"/>
        <w:rPr>
          <w:rFonts w:cs="Arial"/>
          <w:b/>
          <w:sz w:val="23"/>
          <w:szCs w:val="23"/>
        </w:rPr>
      </w:pPr>
      <w:r w:rsidRPr="00183434">
        <w:rPr>
          <w:rFonts w:cs="Arial"/>
          <w:b/>
          <w:sz w:val="23"/>
          <w:szCs w:val="23"/>
        </w:rPr>
        <w:t>1.13</w:t>
      </w:r>
      <w:r w:rsidRPr="00183434">
        <w:rPr>
          <w:rFonts w:cs="Arial"/>
          <w:b/>
          <w:sz w:val="23"/>
          <w:szCs w:val="23"/>
        </w:rPr>
        <w:tab/>
      </w:r>
      <w:r w:rsidRPr="00183434">
        <w:rPr>
          <w:rFonts w:cs="Arial"/>
          <w:b/>
          <w:sz w:val="23"/>
          <w:szCs w:val="23"/>
          <w:u w:val="single"/>
        </w:rPr>
        <w:t>INVESTMENT PROPERTY</w:t>
      </w:r>
    </w:p>
    <w:p w14:paraId="488A3A08" w14:textId="77777777" w:rsidR="00985055" w:rsidRPr="00183434" w:rsidRDefault="00985055" w:rsidP="00183434">
      <w:pPr>
        <w:jc w:val="both"/>
        <w:rPr>
          <w:rFonts w:cs="Arial"/>
          <w:b/>
          <w:sz w:val="23"/>
          <w:szCs w:val="23"/>
          <w:u w:val="single"/>
        </w:rPr>
      </w:pPr>
    </w:p>
    <w:p w14:paraId="79E13213" w14:textId="77777777" w:rsidR="00985055" w:rsidRPr="00183434" w:rsidRDefault="00985055" w:rsidP="00183434">
      <w:pPr>
        <w:ind w:left="720"/>
        <w:jc w:val="both"/>
        <w:rPr>
          <w:rFonts w:cs="Arial"/>
          <w:sz w:val="23"/>
          <w:szCs w:val="23"/>
        </w:rPr>
      </w:pPr>
      <w:r w:rsidRPr="00183434">
        <w:rPr>
          <w:rFonts w:cs="Arial"/>
          <w:sz w:val="23"/>
          <w:szCs w:val="23"/>
        </w:rPr>
        <w:t>Investment properties are those held solely to earn rentals or for capital appreciation. They are measured initially at cost and subsequently at fair value, being the price that would be received to sell such an asset in an orderly transaction between market participants at the measurement date. Investment properties will be measured at highest and best use.</w:t>
      </w:r>
    </w:p>
    <w:p w14:paraId="4F4AF5B1" w14:textId="77777777" w:rsidR="00985055" w:rsidRPr="00183434" w:rsidRDefault="00985055" w:rsidP="00183434">
      <w:pPr>
        <w:ind w:left="720"/>
        <w:jc w:val="both"/>
        <w:rPr>
          <w:rFonts w:cs="Arial"/>
          <w:sz w:val="23"/>
          <w:szCs w:val="23"/>
        </w:rPr>
      </w:pPr>
    </w:p>
    <w:p w14:paraId="09C06BA2" w14:textId="77777777" w:rsidR="00985055" w:rsidRPr="00183434" w:rsidRDefault="00985055" w:rsidP="00183434">
      <w:pPr>
        <w:ind w:left="720"/>
        <w:jc w:val="both"/>
        <w:rPr>
          <w:rFonts w:cs="Arial"/>
          <w:sz w:val="23"/>
          <w:szCs w:val="23"/>
        </w:rPr>
      </w:pPr>
      <w:r w:rsidRPr="00183434">
        <w:rPr>
          <w:rFonts w:cs="Arial"/>
          <w:sz w:val="23"/>
          <w:szCs w:val="23"/>
        </w:rPr>
        <w:lastRenderedPageBreak/>
        <w:t>These properties are not depreciated but are revalued annually according to market conditions at the year end and any gains or losses on revaluation, or disposal, are included in the Financing &amp; Investment Income line in the Comprehensive Income and Expenditure Statement. These are subsequently reversed out of the General Fund Balance in the Movement of Reserves Statement and transferred to the Capital Adjustment Account.</w:t>
      </w:r>
    </w:p>
    <w:p w14:paraId="35EDE1A5" w14:textId="77777777" w:rsidR="00985055" w:rsidRPr="00183434" w:rsidRDefault="00985055" w:rsidP="00183434">
      <w:pPr>
        <w:ind w:left="720"/>
        <w:jc w:val="both"/>
        <w:rPr>
          <w:rFonts w:cs="Arial"/>
          <w:sz w:val="23"/>
          <w:szCs w:val="23"/>
        </w:rPr>
      </w:pPr>
    </w:p>
    <w:p w14:paraId="01F64ED6" w14:textId="77777777" w:rsidR="00985055" w:rsidRPr="00183434" w:rsidRDefault="00985055" w:rsidP="00183434">
      <w:pPr>
        <w:ind w:left="720"/>
        <w:jc w:val="both"/>
        <w:rPr>
          <w:rFonts w:cs="Arial"/>
          <w:sz w:val="23"/>
          <w:szCs w:val="23"/>
        </w:rPr>
      </w:pPr>
      <w:r w:rsidRPr="00183434">
        <w:rPr>
          <w:rFonts w:cs="Arial"/>
          <w:sz w:val="23"/>
          <w:szCs w:val="23"/>
        </w:rPr>
        <w:t>Rentals from investment properties are credited to the Financing &amp; Investment Income line and result in a gain for the General Fund.</w:t>
      </w:r>
    </w:p>
    <w:p w14:paraId="613B1DB0" w14:textId="77777777" w:rsidR="00985055" w:rsidRPr="00183434" w:rsidRDefault="00985055" w:rsidP="00183434">
      <w:pPr>
        <w:jc w:val="both"/>
        <w:rPr>
          <w:rFonts w:cs="Arial"/>
          <w:sz w:val="23"/>
          <w:szCs w:val="23"/>
          <w:highlight w:val="cyan"/>
        </w:rPr>
      </w:pPr>
    </w:p>
    <w:p w14:paraId="33EEE0C0"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1.14</w:t>
      </w:r>
      <w:r w:rsidRPr="00183434">
        <w:rPr>
          <w:rFonts w:cs="Arial"/>
          <w:bCs/>
          <w:color w:val="000000" w:themeColor="text1"/>
          <w:sz w:val="23"/>
          <w:szCs w:val="23"/>
          <w:u w:val="none"/>
        </w:rPr>
        <w:tab/>
      </w:r>
      <w:r w:rsidRPr="00183434">
        <w:rPr>
          <w:rFonts w:cs="Arial"/>
          <w:bCs/>
          <w:color w:val="000000" w:themeColor="text1"/>
          <w:sz w:val="23"/>
          <w:szCs w:val="23"/>
        </w:rPr>
        <w:t>PROPERTY, PLANT &amp; EQUIPMENT</w:t>
      </w:r>
    </w:p>
    <w:p w14:paraId="6E31013C" w14:textId="77777777" w:rsidR="00985055" w:rsidRPr="00183434" w:rsidRDefault="00985055" w:rsidP="00183434">
      <w:pPr>
        <w:ind w:left="720"/>
        <w:jc w:val="both"/>
        <w:rPr>
          <w:rFonts w:cs="Arial"/>
          <w:sz w:val="23"/>
          <w:szCs w:val="23"/>
        </w:rPr>
      </w:pPr>
    </w:p>
    <w:p w14:paraId="690952AE" w14:textId="77777777" w:rsidR="00985055" w:rsidRPr="00183434" w:rsidRDefault="00985055" w:rsidP="00183434">
      <w:pPr>
        <w:ind w:left="720"/>
        <w:jc w:val="both"/>
        <w:rPr>
          <w:rFonts w:cs="Arial"/>
          <w:sz w:val="23"/>
          <w:szCs w:val="23"/>
        </w:rPr>
      </w:pPr>
      <w:r w:rsidRPr="00183434">
        <w:rPr>
          <w:rFonts w:cs="Arial"/>
          <w:sz w:val="23"/>
          <w:szCs w:val="23"/>
        </w:rPr>
        <w:t xml:space="preserve">Expenditure on the acquisition, creation or enhancement of Property, Plant and Equipment is capitalised on an </w:t>
      </w:r>
      <w:proofErr w:type="gramStart"/>
      <w:r w:rsidRPr="00183434">
        <w:rPr>
          <w:rFonts w:cs="Arial"/>
          <w:sz w:val="23"/>
          <w:szCs w:val="23"/>
        </w:rPr>
        <w:t>accruals</w:t>
      </w:r>
      <w:proofErr w:type="gramEnd"/>
      <w:r w:rsidRPr="00183434">
        <w:rPr>
          <w:rFonts w:cs="Arial"/>
          <w:sz w:val="23"/>
          <w:szCs w:val="23"/>
        </w:rPr>
        <w:t xml:space="preserve"> basis. Expenditure is capitalised, provided that the asset yields benefit to the authority and the services it provides. This excludes expenditure on routine repairs and maintenance which is charged direct to service revenue accounts. Capital expenditure below £25,000 on land and property assets and below £10,000 on vehicles, plant and equipment is classed as de-minimis.</w:t>
      </w:r>
    </w:p>
    <w:p w14:paraId="25B5CF07" w14:textId="77777777" w:rsidR="00985055" w:rsidRPr="00183434" w:rsidRDefault="00985055" w:rsidP="00183434">
      <w:pPr>
        <w:jc w:val="both"/>
        <w:rPr>
          <w:rFonts w:cs="Arial"/>
          <w:sz w:val="23"/>
          <w:szCs w:val="23"/>
          <w:highlight w:val="cyan"/>
        </w:rPr>
      </w:pPr>
    </w:p>
    <w:p w14:paraId="4AD41603" w14:textId="77777777" w:rsidR="00985055" w:rsidRPr="00183434" w:rsidRDefault="00985055" w:rsidP="00183434">
      <w:pPr>
        <w:ind w:left="720"/>
        <w:jc w:val="both"/>
        <w:rPr>
          <w:rFonts w:cs="Arial"/>
          <w:sz w:val="23"/>
          <w:szCs w:val="23"/>
        </w:rPr>
      </w:pPr>
      <w:r w:rsidRPr="00183434">
        <w:rPr>
          <w:rFonts w:cs="Arial"/>
          <w:sz w:val="23"/>
          <w:szCs w:val="23"/>
        </w:rPr>
        <w:t xml:space="preserve">Assets are initially measured at cost. The cost of assets other than by purchase is </w:t>
      </w:r>
    </w:p>
    <w:p w14:paraId="455D3C18" w14:textId="77777777" w:rsidR="00985055" w:rsidRPr="00183434" w:rsidRDefault="00985055" w:rsidP="00183434">
      <w:pPr>
        <w:ind w:left="720"/>
        <w:jc w:val="both"/>
        <w:rPr>
          <w:rFonts w:cs="Arial"/>
          <w:sz w:val="23"/>
          <w:szCs w:val="23"/>
        </w:rPr>
      </w:pPr>
      <w:r w:rsidRPr="00183434">
        <w:rPr>
          <w:rFonts w:cs="Arial"/>
          <w:sz w:val="23"/>
          <w:szCs w:val="23"/>
        </w:rPr>
        <w:t xml:space="preserve">deemed to be its fair value. This is the amount that would be received on disposing of an asset or paid to transfer a liability in an orderly transaction between market participants at the measurement date. </w:t>
      </w:r>
    </w:p>
    <w:p w14:paraId="24D737BE" w14:textId="77777777" w:rsidR="00985055" w:rsidRPr="00183434" w:rsidRDefault="00985055" w:rsidP="00183434">
      <w:pPr>
        <w:ind w:left="720"/>
        <w:jc w:val="both"/>
        <w:rPr>
          <w:rFonts w:cs="Arial"/>
          <w:sz w:val="23"/>
          <w:szCs w:val="23"/>
          <w:highlight w:val="cyan"/>
        </w:rPr>
      </w:pPr>
    </w:p>
    <w:p w14:paraId="6F823163" w14:textId="77777777" w:rsidR="00985055" w:rsidRPr="00183434" w:rsidRDefault="00985055" w:rsidP="00183434">
      <w:pPr>
        <w:ind w:left="720"/>
        <w:jc w:val="both"/>
        <w:rPr>
          <w:rFonts w:cs="Arial"/>
          <w:sz w:val="23"/>
          <w:szCs w:val="23"/>
        </w:rPr>
      </w:pPr>
      <w:r w:rsidRPr="00183434">
        <w:rPr>
          <w:rFonts w:cs="Arial"/>
          <w:sz w:val="23"/>
          <w:szCs w:val="23"/>
        </w:rPr>
        <w:t>Donated assets are measured initially at fair value. The difference between fair value and consideration paid is credited to the Taxation and Non-specific Grant Income line of the Comprehensive Income &amp; Expenditure Statement, unless the donation has been made conditionally. Until conditions are satisfied, the gain is held in the Donated Assets Account. Where gains are credited to the Comprehensive Income &amp; Expenditure Statement, they are reversed out of the General Fund Balance to the Capital Adjustment Account in the Movement in Reserves Statement.</w:t>
      </w:r>
    </w:p>
    <w:p w14:paraId="70AD9A19" w14:textId="77777777" w:rsidR="00985055" w:rsidRPr="00183434" w:rsidRDefault="00985055" w:rsidP="00183434">
      <w:pPr>
        <w:ind w:left="720"/>
        <w:jc w:val="both"/>
        <w:rPr>
          <w:rFonts w:cs="Arial"/>
          <w:sz w:val="23"/>
          <w:szCs w:val="23"/>
        </w:rPr>
      </w:pPr>
    </w:p>
    <w:p w14:paraId="4EFDAA17" w14:textId="77777777" w:rsidR="00985055" w:rsidRPr="00183434" w:rsidRDefault="00985055" w:rsidP="00183434">
      <w:pPr>
        <w:ind w:left="720"/>
        <w:jc w:val="both"/>
        <w:rPr>
          <w:rFonts w:cs="Arial"/>
          <w:sz w:val="23"/>
          <w:szCs w:val="23"/>
        </w:rPr>
      </w:pPr>
      <w:r w:rsidRPr="00183434">
        <w:rPr>
          <w:rFonts w:cs="Arial"/>
          <w:sz w:val="23"/>
          <w:szCs w:val="23"/>
        </w:rPr>
        <w:t>Assets are then carried in the Balance Sheet using the following measurement bases:</w:t>
      </w:r>
    </w:p>
    <w:p w14:paraId="74731BAE" w14:textId="77777777" w:rsidR="00985055" w:rsidRPr="00183434" w:rsidRDefault="00985055" w:rsidP="00183434">
      <w:pPr>
        <w:jc w:val="both"/>
        <w:rPr>
          <w:rFonts w:cs="Arial"/>
          <w:sz w:val="23"/>
          <w:szCs w:val="23"/>
        </w:rPr>
      </w:pPr>
    </w:p>
    <w:p w14:paraId="7EF9CE8E" w14:textId="77777777" w:rsidR="00985055" w:rsidRPr="00183434" w:rsidRDefault="00985055" w:rsidP="00183434">
      <w:pPr>
        <w:numPr>
          <w:ilvl w:val="0"/>
          <w:numId w:val="2"/>
        </w:numPr>
        <w:ind w:left="1080"/>
        <w:jc w:val="both"/>
        <w:rPr>
          <w:rFonts w:cs="Arial"/>
          <w:sz w:val="23"/>
          <w:szCs w:val="23"/>
        </w:rPr>
      </w:pPr>
      <w:r w:rsidRPr="00183434">
        <w:rPr>
          <w:rFonts w:cs="Arial"/>
          <w:sz w:val="23"/>
          <w:szCs w:val="23"/>
        </w:rPr>
        <w:t>infrastructure, community assets and assets under construction are included in the balance sheet at depreciated historic cost.</w:t>
      </w:r>
    </w:p>
    <w:p w14:paraId="5076109A" w14:textId="77777777" w:rsidR="00985055" w:rsidRPr="00183434" w:rsidRDefault="00985055" w:rsidP="00183434">
      <w:pPr>
        <w:numPr>
          <w:ilvl w:val="0"/>
          <w:numId w:val="2"/>
        </w:numPr>
        <w:ind w:left="1080"/>
        <w:jc w:val="both"/>
        <w:rPr>
          <w:rFonts w:cs="Arial"/>
          <w:sz w:val="23"/>
          <w:szCs w:val="23"/>
        </w:rPr>
      </w:pPr>
      <w:r w:rsidRPr="00183434">
        <w:rPr>
          <w:rFonts w:cs="Arial"/>
          <w:sz w:val="23"/>
          <w:szCs w:val="23"/>
        </w:rPr>
        <w:t>dwellings are included in the balance sheet at current value, based on existing use for social housing</w:t>
      </w:r>
    </w:p>
    <w:p w14:paraId="5C67B6E4" w14:textId="77777777" w:rsidR="00985055" w:rsidRPr="00183434" w:rsidRDefault="00985055" w:rsidP="00183434">
      <w:pPr>
        <w:numPr>
          <w:ilvl w:val="0"/>
          <w:numId w:val="2"/>
        </w:numPr>
        <w:ind w:left="1080"/>
        <w:jc w:val="both"/>
        <w:rPr>
          <w:rFonts w:cs="Arial"/>
          <w:sz w:val="23"/>
          <w:szCs w:val="23"/>
        </w:rPr>
      </w:pPr>
      <w:r w:rsidRPr="00183434">
        <w:rPr>
          <w:rFonts w:cs="Arial"/>
          <w:sz w:val="23"/>
          <w:szCs w:val="23"/>
        </w:rPr>
        <w:t>all other assets are valued at current value, based on existing use</w:t>
      </w:r>
    </w:p>
    <w:p w14:paraId="11E02598" w14:textId="77777777" w:rsidR="00985055" w:rsidRPr="00183434" w:rsidRDefault="00985055" w:rsidP="00183434">
      <w:pPr>
        <w:ind w:left="720"/>
        <w:jc w:val="both"/>
        <w:rPr>
          <w:rFonts w:cs="Arial"/>
          <w:sz w:val="23"/>
          <w:szCs w:val="23"/>
        </w:rPr>
      </w:pPr>
    </w:p>
    <w:p w14:paraId="5F0EE6BF" w14:textId="77777777" w:rsidR="00985055" w:rsidRPr="00183434" w:rsidRDefault="00985055" w:rsidP="00183434">
      <w:pPr>
        <w:ind w:left="720"/>
        <w:jc w:val="both"/>
        <w:rPr>
          <w:rFonts w:cs="Arial"/>
          <w:sz w:val="23"/>
          <w:szCs w:val="23"/>
        </w:rPr>
      </w:pPr>
    </w:p>
    <w:p w14:paraId="59B725DF" w14:textId="77777777" w:rsidR="00985055" w:rsidRPr="00183434" w:rsidRDefault="00985055" w:rsidP="00183434">
      <w:pPr>
        <w:ind w:left="720"/>
        <w:jc w:val="both"/>
        <w:rPr>
          <w:rFonts w:cs="Arial"/>
          <w:sz w:val="23"/>
          <w:szCs w:val="23"/>
        </w:rPr>
      </w:pPr>
      <w:r w:rsidRPr="00183434">
        <w:rPr>
          <w:rFonts w:cs="Arial"/>
          <w:sz w:val="23"/>
          <w:szCs w:val="23"/>
        </w:rPr>
        <w:t>Where there is no market-based evidence of current value because of the specialist nature of an asset, depreciated replacement cost is used as an estimate of current value.</w:t>
      </w:r>
    </w:p>
    <w:p w14:paraId="6234B8D9" w14:textId="77777777" w:rsidR="00985055" w:rsidRPr="00183434" w:rsidRDefault="00985055" w:rsidP="00183434">
      <w:pPr>
        <w:ind w:left="720"/>
        <w:jc w:val="both"/>
        <w:rPr>
          <w:rFonts w:cs="Arial"/>
          <w:sz w:val="23"/>
          <w:szCs w:val="23"/>
        </w:rPr>
      </w:pPr>
    </w:p>
    <w:p w14:paraId="1BA438B2" w14:textId="77777777" w:rsidR="00985055" w:rsidRPr="00183434" w:rsidRDefault="00985055" w:rsidP="00183434">
      <w:pPr>
        <w:ind w:left="720"/>
        <w:jc w:val="both"/>
        <w:rPr>
          <w:rFonts w:cs="Arial"/>
          <w:sz w:val="23"/>
          <w:szCs w:val="23"/>
        </w:rPr>
      </w:pPr>
      <w:r w:rsidRPr="00183434">
        <w:rPr>
          <w:rFonts w:cs="Arial"/>
          <w:sz w:val="23"/>
          <w:szCs w:val="23"/>
        </w:rPr>
        <w:t>Non property assets with short useful lives or low values are valued on a depreciated historical cost basis as a proxy for current value.</w:t>
      </w:r>
    </w:p>
    <w:p w14:paraId="061FD2AB" w14:textId="77777777" w:rsidR="00985055" w:rsidRPr="00183434" w:rsidRDefault="00985055" w:rsidP="00183434">
      <w:pPr>
        <w:ind w:left="720"/>
        <w:jc w:val="both"/>
        <w:rPr>
          <w:rFonts w:cs="Arial"/>
          <w:sz w:val="23"/>
          <w:szCs w:val="23"/>
          <w:highlight w:val="cyan"/>
        </w:rPr>
      </w:pPr>
    </w:p>
    <w:p w14:paraId="0DE1A0F9" w14:textId="77777777" w:rsidR="00985055" w:rsidRPr="00183434" w:rsidRDefault="00985055" w:rsidP="00183434">
      <w:pPr>
        <w:ind w:left="720"/>
        <w:jc w:val="both"/>
        <w:rPr>
          <w:rFonts w:cs="Arial"/>
          <w:sz w:val="23"/>
          <w:szCs w:val="23"/>
        </w:rPr>
      </w:pPr>
      <w:r w:rsidRPr="00183434">
        <w:rPr>
          <w:rFonts w:cs="Arial"/>
          <w:sz w:val="23"/>
          <w:szCs w:val="23"/>
        </w:rPr>
        <w:t>Assets included in the Balance Sheet at current value are revalued sufficiently regularly to ensure that their carrying amount is not materially different from their current value at the balance sheet date, but as a minimum every five years.</w:t>
      </w:r>
    </w:p>
    <w:p w14:paraId="23E92270" w14:textId="77777777" w:rsidR="00985055" w:rsidRPr="00183434" w:rsidRDefault="00985055" w:rsidP="00183434">
      <w:pPr>
        <w:jc w:val="both"/>
        <w:rPr>
          <w:rFonts w:cs="Arial"/>
          <w:sz w:val="23"/>
          <w:szCs w:val="23"/>
        </w:rPr>
      </w:pPr>
    </w:p>
    <w:p w14:paraId="41DADC15" w14:textId="77777777" w:rsidR="00985055" w:rsidRPr="00183434" w:rsidRDefault="00985055" w:rsidP="00183434">
      <w:pPr>
        <w:ind w:left="720"/>
        <w:jc w:val="both"/>
        <w:rPr>
          <w:rFonts w:cs="Arial"/>
          <w:sz w:val="23"/>
          <w:szCs w:val="23"/>
        </w:rPr>
      </w:pPr>
      <w:r w:rsidRPr="00183434">
        <w:rPr>
          <w:rFonts w:cs="Arial"/>
          <w:sz w:val="23"/>
          <w:szCs w:val="23"/>
        </w:rPr>
        <w:t xml:space="preserve">Increases arising from the re-valuation are credited to the revaluation reserve to recognise unrealised gains.  Exceptionally, gains may be credited to the </w:t>
      </w:r>
      <w:r w:rsidRPr="00183434">
        <w:rPr>
          <w:rFonts w:cs="Arial"/>
          <w:sz w:val="23"/>
          <w:szCs w:val="23"/>
        </w:rPr>
        <w:lastRenderedPageBreak/>
        <w:t xml:space="preserve">Comprehensive Income &amp; Expenditure Statement where they arise from the reversal of a loss previously charged to a service revenue account. </w:t>
      </w:r>
    </w:p>
    <w:p w14:paraId="0439F0B8" w14:textId="77777777" w:rsidR="00985055" w:rsidRPr="00183434" w:rsidRDefault="00985055" w:rsidP="00183434">
      <w:pPr>
        <w:ind w:left="720"/>
        <w:jc w:val="both"/>
        <w:rPr>
          <w:rFonts w:cs="Arial"/>
          <w:sz w:val="23"/>
          <w:szCs w:val="23"/>
        </w:rPr>
      </w:pPr>
    </w:p>
    <w:p w14:paraId="3DD46337" w14:textId="77777777" w:rsidR="00985055" w:rsidRPr="00183434" w:rsidRDefault="00985055" w:rsidP="00183434">
      <w:pPr>
        <w:ind w:left="720"/>
        <w:jc w:val="both"/>
        <w:rPr>
          <w:rFonts w:cs="Arial"/>
          <w:sz w:val="23"/>
          <w:szCs w:val="23"/>
        </w:rPr>
      </w:pPr>
      <w:r w:rsidRPr="00183434">
        <w:rPr>
          <w:rFonts w:cs="Arial"/>
          <w:sz w:val="23"/>
          <w:szCs w:val="23"/>
        </w:rPr>
        <w:t>Where decreases in value are identified, they are accounted for as follows:</w:t>
      </w:r>
    </w:p>
    <w:p w14:paraId="17EEFA71" w14:textId="77777777" w:rsidR="00985055" w:rsidRPr="00183434" w:rsidRDefault="00985055" w:rsidP="00183434">
      <w:pPr>
        <w:ind w:left="720"/>
        <w:jc w:val="both"/>
        <w:rPr>
          <w:rFonts w:cs="Arial"/>
          <w:sz w:val="23"/>
          <w:szCs w:val="23"/>
        </w:rPr>
      </w:pPr>
    </w:p>
    <w:p w14:paraId="460A8323" w14:textId="77777777" w:rsidR="00985055" w:rsidRPr="00183434" w:rsidRDefault="00985055" w:rsidP="00183434">
      <w:pPr>
        <w:numPr>
          <w:ilvl w:val="0"/>
          <w:numId w:val="22"/>
        </w:numPr>
        <w:jc w:val="both"/>
        <w:rPr>
          <w:rFonts w:cs="Arial"/>
          <w:sz w:val="23"/>
          <w:szCs w:val="23"/>
        </w:rPr>
      </w:pPr>
      <w:r w:rsidRPr="00183434">
        <w:rPr>
          <w:rFonts w:cs="Arial"/>
          <w:sz w:val="23"/>
          <w:szCs w:val="23"/>
        </w:rPr>
        <w:t xml:space="preserve">where there is a balance of revaluation gains for the asset in the revaluation reserve, the carrying amount of the asset is written down against the balance (up to the amount of the accumulated gains) </w:t>
      </w:r>
    </w:p>
    <w:p w14:paraId="1C55B780" w14:textId="77777777" w:rsidR="00985055" w:rsidRPr="00183434" w:rsidRDefault="00985055" w:rsidP="00183434">
      <w:pPr>
        <w:numPr>
          <w:ilvl w:val="0"/>
          <w:numId w:val="22"/>
        </w:numPr>
        <w:jc w:val="both"/>
        <w:rPr>
          <w:rFonts w:cs="Arial"/>
          <w:sz w:val="23"/>
          <w:szCs w:val="23"/>
        </w:rPr>
      </w:pPr>
      <w:r w:rsidRPr="00183434">
        <w:rPr>
          <w:rFonts w:cs="Arial"/>
          <w:sz w:val="23"/>
          <w:szCs w:val="23"/>
        </w:rPr>
        <w:t>where there is no balance in the revaluation reserve or an insufficient balance, the carrying amount of the asset is written down against the relevant service in the Comprehensive Income and Expenditure Statement</w:t>
      </w:r>
    </w:p>
    <w:p w14:paraId="1F6D5E8D" w14:textId="77777777" w:rsidR="00985055" w:rsidRPr="00183434" w:rsidRDefault="00985055" w:rsidP="00183434">
      <w:pPr>
        <w:jc w:val="both"/>
        <w:rPr>
          <w:rFonts w:cs="Arial"/>
          <w:sz w:val="23"/>
          <w:szCs w:val="23"/>
          <w:highlight w:val="cyan"/>
        </w:rPr>
      </w:pPr>
    </w:p>
    <w:p w14:paraId="41D111C7" w14:textId="77777777" w:rsidR="00985055" w:rsidRPr="00183434" w:rsidRDefault="00985055" w:rsidP="00183434">
      <w:pPr>
        <w:ind w:left="720"/>
        <w:jc w:val="both"/>
        <w:rPr>
          <w:rFonts w:cs="Arial"/>
          <w:sz w:val="23"/>
          <w:szCs w:val="23"/>
        </w:rPr>
      </w:pPr>
      <w:r w:rsidRPr="00183434">
        <w:rPr>
          <w:rFonts w:cs="Arial"/>
          <w:sz w:val="23"/>
          <w:szCs w:val="23"/>
        </w:rPr>
        <w:t>The Revaluation Reserve contains revaluation gains recognised since 1</w:t>
      </w:r>
      <w:r w:rsidRPr="00183434">
        <w:rPr>
          <w:rFonts w:cs="Arial"/>
          <w:sz w:val="23"/>
          <w:szCs w:val="23"/>
          <w:vertAlign w:val="superscript"/>
        </w:rPr>
        <w:t>st</w:t>
      </w:r>
      <w:r w:rsidRPr="00183434">
        <w:rPr>
          <w:rFonts w:cs="Arial"/>
          <w:sz w:val="23"/>
          <w:szCs w:val="23"/>
        </w:rPr>
        <w:t xml:space="preserve"> April 2007 only, the date of its formal inception. Gains before that date have been consolidated into the Capital Adjustment Account.</w:t>
      </w:r>
    </w:p>
    <w:p w14:paraId="0343F0BF" w14:textId="77777777" w:rsidR="00985055" w:rsidRPr="00183434" w:rsidRDefault="00985055" w:rsidP="00183434">
      <w:pPr>
        <w:jc w:val="both"/>
        <w:rPr>
          <w:rFonts w:cs="Arial"/>
          <w:sz w:val="23"/>
          <w:szCs w:val="23"/>
        </w:rPr>
      </w:pPr>
    </w:p>
    <w:p w14:paraId="6077778C" w14:textId="77777777" w:rsidR="00985055" w:rsidRPr="00183434" w:rsidRDefault="00985055" w:rsidP="00183434">
      <w:pPr>
        <w:ind w:left="720"/>
        <w:jc w:val="both"/>
        <w:rPr>
          <w:rFonts w:cs="Arial"/>
          <w:b/>
          <w:sz w:val="23"/>
          <w:szCs w:val="23"/>
          <w:u w:val="single"/>
        </w:rPr>
      </w:pPr>
      <w:r w:rsidRPr="00183434">
        <w:rPr>
          <w:rFonts w:cs="Arial"/>
          <w:b/>
          <w:sz w:val="23"/>
          <w:szCs w:val="23"/>
          <w:u w:val="single"/>
        </w:rPr>
        <w:t>Intangible Assets</w:t>
      </w:r>
    </w:p>
    <w:p w14:paraId="62321D7C" w14:textId="77777777" w:rsidR="00985055" w:rsidRPr="00183434" w:rsidRDefault="00985055" w:rsidP="00183434">
      <w:pPr>
        <w:ind w:left="720"/>
        <w:jc w:val="both"/>
        <w:rPr>
          <w:rFonts w:cs="Arial"/>
          <w:b/>
          <w:sz w:val="23"/>
          <w:szCs w:val="23"/>
          <w:u w:val="single"/>
        </w:rPr>
      </w:pPr>
    </w:p>
    <w:p w14:paraId="37A216E8" w14:textId="77777777" w:rsidR="00985055" w:rsidRPr="00183434" w:rsidRDefault="00985055" w:rsidP="00183434">
      <w:pPr>
        <w:pStyle w:val="BodyTextIndent3"/>
        <w:jc w:val="both"/>
        <w:rPr>
          <w:rFonts w:cs="Arial"/>
          <w:szCs w:val="23"/>
        </w:rPr>
      </w:pPr>
      <w:r w:rsidRPr="00183434">
        <w:rPr>
          <w:rFonts w:cs="Arial"/>
          <w:szCs w:val="23"/>
        </w:rPr>
        <w:t xml:space="preserve">Expenditure on assets that do not have physical substance but are controlled by the Council (eg software licences) is capitalised when it is expected that future economic benefits or service potential will flow from the intangible asset to the authority. </w:t>
      </w:r>
    </w:p>
    <w:p w14:paraId="60559B98" w14:textId="77777777" w:rsidR="00985055" w:rsidRPr="00183434" w:rsidRDefault="00985055" w:rsidP="00183434">
      <w:pPr>
        <w:pStyle w:val="BodyTextIndent3"/>
        <w:jc w:val="both"/>
        <w:rPr>
          <w:rFonts w:cs="Arial"/>
          <w:szCs w:val="23"/>
        </w:rPr>
      </w:pPr>
    </w:p>
    <w:p w14:paraId="4F3F03D7" w14:textId="77777777" w:rsidR="00985055" w:rsidRPr="00183434" w:rsidRDefault="00985055" w:rsidP="00183434">
      <w:pPr>
        <w:pStyle w:val="BodyTextIndent3"/>
        <w:jc w:val="both"/>
        <w:rPr>
          <w:rFonts w:cs="Arial"/>
          <w:szCs w:val="23"/>
        </w:rPr>
      </w:pPr>
      <w:r w:rsidRPr="00183434">
        <w:rPr>
          <w:rFonts w:cs="Arial"/>
          <w:szCs w:val="23"/>
        </w:rPr>
        <w:t>Intangible assets are initially measured at cost. Amounts are only revalued where the fair value can be determined by reference to an active market. The depreciable amount of an intangible asset is amortised over its useful life to the relevant service in the Comprehensive Income and Expenditure Statement.</w:t>
      </w:r>
    </w:p>
    <w:p w14:paraId="3F831EFB" w14:textId="77777777" w:rsidR="00985055" w:rsidRPr="00183434" w:rsidRDefault="00985055" w:rsidP="00183434">
      <w:pPr>
        <w:pStyle w:val="BodyTextIndent3"/>
        <w:ind w:left="0"/>
        <w:jc w:val="both"/>
        <w:rPr>
          <w:rFonts w:cs="Arial"/>
          <w:szCs w:val="23"/>
        </w:rPr>
      </w:pPr>
    </w:p>
    <w:p w14:paraId="24484ECA" w14:textId="77777777" w:rsidR="00985055" w:rsidRPr="00183434" w:rsidRDefault="00985055" w:rsidP="00183434">
      <w:pPr>
        <w:pStyle w:val="BodyTextIndent3"/>
        <w:ind w:left="0"/>
        <w:jc w:val="both"/>
        <w:rPr>
          <w:rFonts w:cs="Arial"/>
          <w:b/>
          <w:szCs w:val="23"/>
          <w:u w:val="single"/>
        </w:rPr>
      </w:pPr>
      <w:r w:rsidRPr="00183434">
        <w:rPr>
          <w:rFonts w:cs="Arial"/>
          <w:szCs w:val="23"/>
        </w:rPr>
        <w:tab/>
      </w:r>
      <w:r w:rsidRPr="00183434">
        <w:rPr>
          <w:rFonts w:cs="Arial"/>
          <w:b/>
          <w:szCs w:val="23"/>
          <w:u w:val="single"/>
        </w:rPr>
        <w:t>Non-current Assets Held for Sale</w:t>
      </w:r>
    </w:p>
    <w:p w14:paraId="0503596D" w14:textId="77777777" w:rsidR="00985055" w:rsidRPr="00183434" w:rsidRDefault="00985055" w:rsidP="00183434">
      <w:pPr>
        <w:pStyle w:val="BodyTextIndent3"/>
        <w:jc w:val="both"/>
        <w:rPr>
          <w:rFonts w:cs="Arial"/>
          <w:szCs w:val="23"/>
        </w:rPr>
      </w:pPr>
    </w:p>
    <w:p w14:paraId="6C8A6D5B" w14:textId="77777777" w:rsidR="00985055" w:rsidRPr="00183434" w:rsidRDefault="00985055" w:rsidP="00183434">
      <w:pPr>
        <w:pStyle w:val="BodyTextIndent3"/>
        <w:jc w:val="both"/>
        <w:rPr>
          <w:rFonts w:cs="Arial"/>
          <w:szCs w:val="23"/>
        </w:rPr>
      </w:pPr>
      <w:r w:rsidRPr="00183434">
        <w:rPr>
          <w:rFonts w:cs="Arial"/>
          <w:szCs w:val="23"/>
        </w:rPr>
        <w:t>When it becomes probable that the carrying amount of an asset will be recovered through a sale transaction rather than through its continuing use, it is reclassified as an Asset Held for Sale. Immediately before the initial classification of an asset as held for sale, the carrying amount of the asset is measured in accordance with the relevant section of the Code.</w:t>
      </w:r>
    </w:p>
    <w:p w14:paraId="15923632" w14:textId="77777777" w:rsidR="00985055" w:rsidRPr="00183434" w:rsidRDefault="00985055" w:rsidP="00183434">
      <w:pPr>
        <w:pStyle w:val="BodyTextIndent3"/>
        <w:jc w:val="both"/>
        <w:rPr>
          <w:rFonts w:cs="Arial"/>
          <w:szCs w:val="23"/>
        </w:rPr>
      </w:pPr>
    </w:p>
    <w:p w14:paraId="2535D2A4" w14:textId="77777777" w:rsidR="00985055" w:rsidRPr="00183434" w:rsidRDefault="00985055" w:rsidP="00183434">
      <w:pPr>
        <w:pStyle w:val="BodyTextIndent3"/>
        <w:jc w:val="both"/>
        <w:rPr>
          <w:rFonts w:cs="Arial"/>
          <w:szCs w:val="23"/>
        </w:rPr>
      </w:pPr>
      <w:r w:rsidRPr="00183434">
        <w:rPr>
          <w:rFonts w:cs="Arial"/>
          <w:szCs w:val="23"/>
        </w:rPr>
        <w:t>If there is a decrease in value, the loss is posted to the Other Operating Expenditure line in the Comprehensive Income and Expenditure Statement. Gains in fair value are recognised only up to the amount of any losses previously recognised in the Surplus or Deficit on Provision of Services. Depreciation is not charged on Assets Held for Sale.</w:t>
      </w:r>
    </w:p>
    <w:p w14:paraId="1CDE9314" w14:textId="77777777" w:rsidR="00985055" w:rsidRPr="00183434" w:rsidRDefault="00985055" w:rsidP="00183434">
      <w:pPr>
        <w:pStyle w:val="BodyTextIndent3"/>
        <w:jc w:val="both"/>
        <w:rPr>
          <w:rFonts w:cs="Arial"/>
          <w:szCs w:val="23"/>
        </w:rPr>
      </w:pPr>
    </w:p>
    <w:p w14:paraId="21BD3445" w14:textId="77777777" w:rsidR="00985055" w:rsidRPr="00183434" w:rsidRDefault="00985055" w:rsidP="00183434">
      <w:pPr>
        <w:pStyle w:val="BodyTextIndent3"/>
        <w:jc w:val="both"/>
        <w:rPr>
          <w:rFonts w:cs="Arial"/>
          <w:szCs w:val="23"/>
        </w:rPr>
      </w:pPr>
      <w:r w:rsidRPr="00183434">
        <w:rPr>
          <w:rFonts w:cs="Arial"/>
          <w:szCs w:val="23"/>
        </w:rPr>
        <w:t>If assets no longer meet the criteria for Assets Held for Sale, they are reclassified back to non-current assets and valued at the lower of their carrying amount before they were classified as held for sale; adjusted for depreciation, amortisation or revaluations that would have been recognised had they not been classified as Held for Sale, and their recoverable amount at the date of the decision not to sell.</w:t>
      </w:r>
    </w:p>
    <w:p w14:paraId="728AF1E9" w14:textId="77777777" w:rsidR="00985055" w:rsidRPr="00183434" w:rsidRDefault="00985055" w:rsidP="00183434">
      <w:pPr>
        <w:pStyle w:val="BodyTextIndent3"/>
        <w:jc w:val="both"/>
        <w:rPr>
          <w:rFonts w:cs="Arial"/>
          <w:szCs w:val="23"/>
        </w:rPr>
      </w:pPr>
    </w:p>
    <w:p w14:paraId="576F7659" w14:textId="77777777" w:rsidR="00985055" w:rsidRPr="00183434" w:rsidRDefault="00985055" w:rsidP="00183434">
      <w:pPr>
        <w:pStyle w:val="BodyTextIndent3"/>
        <w:jc w:val="both"/>
        <w:rPr>
          <w:rFonts w:cs="Arial"/>
          <w:szCs w:val="23"/>
        </w:rPr>
      </w:pPr>
      <w:r w:rsidRPr="00183434">
        <w:rPr>
          <w:rFonts w:cs="Arial"/>
          <w:szCs w:val="23"/>
        </w:rPr>
        <w:t>Assets that are to be abandoned or scrapped are not reclassified as Assets Held for Sale.</w:t>
      </w:r>
    </w:p>
    <w:p w14:paraId="6A1C142A" w14:textId="77777777" w:rsidR="00985055" w:rsidRPr="00183434" w:rsidRDefault="00985055" w:rsidP="00183434">
      <w:pPr>
        <w:pStyle w:val="BodyTextIndent3"/>
        <w:jc w:val="both"/>
        <w:rPr>
          <w:rFonts w:cs="Arial"/>
          <w:szCs w:val="23"/>
        </w:rPr>
      </w:pPr>
    </w:p>
    <w:p w14:paraId="523E754F" w14:textId="77777777" w:rsidR="00985055" w:rsidRPr="00183434" w:rsidRDefault="00985055" w:rsidP="00183434">
      <w:pPr>
        <w:pStyle w:val="BodyTextIndent3"/>
        <w:jc w:val="both"/>
        <w:rPr>
          <w:rFonts w:cs="Arial"/>
          <w:szCs w:val="23"/>
        </w:rPr>
      </w:pPr>
      <w:r w:rsidRPr="00183434">
        <w:rPr>
          <w:rFonts w:cs="Arial"/>
          <w:szCs w:val="23"/>
        </w:rPr>
        <w:t>Council house ‘Right to Buy’ applications are not classed as Assets Held for Sale, as the probability of these sales are uncertain until completion takes place and are outside the authority’s control.</w:t>
      </w:r>
    </w:p>
    <w:p w14:paraId="412740AD" w14:textId="77777777" w:rsidR="00985055" w:rsidRPr="00183434" w:rsidRDefault="00985055" w:rsidP="00183434">
      <w:pPr>
        <w:pStyle w:val="BodyTextIndent3"/>
        <w:jc w:val="both"/>
        <w:rPr>
          <w:rFonts w:cs="Arial"/>
          <w:szCs w:val="23"/>
        </w:rPr>
      </w:pPr>
    </w:p>
    <w:p w14:paraId="358F0D8B" w14:textId="77777777" w:rsidR="00183434" w:rsidRDefault="00183434">
      <w:pPr>
        <w:rPr>
          <w:rFonts w:cs="Arial"/>
          <w:b/>
          <w:sz w:val="23"/>
          <w:szCs w:val="23"/>
          <w:u w:val="single"/>
        </w:rPr>
      </w:pPr>
      <w:r>
        <w:rPr>
          <w:rFonts w:cs="Arial"/>
          <w:b/>
          <w:szCs w:val="23"/>
          <w:u w:val="single"/>
        </w:rPr>
        <w:br w:type="page"/>
      </w:r>
    </w:p>
    <w:p w14:paraId="19E8F2AF" w14:textId="19ADA491" w:rsidR="00985055" w:rsidRPr="00183434" w:rsidRDefault="00985055" w:rsidP="00183434">
      <w:pPr>
        <w:pStyle w:val="BodyTextIndent3"/>
        <w:jc w:val="both"/>
        <w:rPr>
          <w:rFonts w:cs="Arial"/>
          <w:b/>
          <w:szCs w:val="23"/>
          <w:u w:val="single"/>
        </w:rPr>
      </w:pPr>
      <w:r w:rsidRPr="00183434">
        <w:rPr>
          <w:rFonts w:cs="Arial"/>
          <w:b/>
          <w:szCs w:val="23"/>
          <w:u w:val="single"/>
        </w:rPr>
        <w:lastRenderedPageBreak/>
        <w:t>Disposals</w:t>
      </w:r>
    </w:p>
    <w:p w14:paraId="18B2E224" w14:textId="77777777" w:rsidR="00985055" w:rsidRPr="00183434" w:rsidRDefault="00985055" w:rsidP="00183434">
      <w:pPr>
        <w:pStyle w:val="BodyTextIndent3"/>
        <w:jc w:val="both"/>
        <w:rPr>
          <w:rFonts w:cs="Arial"/>
          <w:szCs w:val="23"/>
        </w:rPr>
      </w:pPr>
    </w:p>
    <w:p w14:paraId="219A4C42" w14:textId="77777777" w:rsidR="00985055" w:rsidRPr="00183434" w:rsidRDefault="00985055" w:rsidP="00183434">
      <w:pPr>
        <w:pStyle w:val="BodyTextIndent3"/>
        <w:jc w:val="both"/>
        <w:rPr>
          <w:rFonts w:cs="Arial"/>
          <w:szCs w:val="23"/>
        </w:rPr>
      </w:pPr>
      <w:r w:rsidRPr="00183434">
        <w:rPr>
          <w:rFonts w:cs="Arial"/>
          <w:szCs w:val="23"/>
        </w:rPr>
        <w:t>When an asset is disposed of or decommissioned, the value of the asset in the balance sheet is written off to the Other Operating Expenditure line in the Comprehensive Income &amp; Expenditure Statement as part of the gain or loss on disposal. Receipts more than £10,000 are categorised as capital receipts. Receipts from disposals are credited to the same line on the Comprehensive Income &amp; Expenditure Statement as part of the gain or loss on disposal (ie netted off against the carrying value of the asset at the time of disposal). Any revaluation gains in the revaluation reserve are transferred to the capital adjustment account.</w:t>
      </w:r>
    </w:p>
    <w:p w14:paraId="376C36E6" w14:textId="77777777" w:rsidR="00985055" w:rsidRPr="00183434" w:rsidRDefault="00985055" w:rsidP="00183434">
      <w:pPr>
        <w:pStyle w:val="BodyTextIndent3"/>
        <w:jc w:val="both"/>
        <w:rPr>
          <w:rFonts w:cs="Arial"/>
          <w:szCs w:val="23"/>
        </w:rPr>
      </w:pPr>
    </w:p>
    <w:p w14:paraId="4D82F4DD" w14:textId="77777777" w:rsidR="00985055" w:rsidRPr="00183434" w:rsidRDefault="00985055" w:rsidP="00183434">
      <w:pPr>
        <w:pStyle w:val="BodyTextIndent3"/>
        <w:jc w:val="both"/>
        <w:rPr>
          <w:rFonts w:cs="Arial"/>
          <w:szCs w:val="23"/>
        </w:rPr>
      </w:pPr>
      <w:r w:rsidRPr="00183434">
        <w:rPr>
          <w:rFonts w:cs="Arial"/>
          <w:szCs w:val="23"/>
        </w:rPr>
        <w:t>A proportion of receipts from housing disposals must be repaid to Government. The balance of receipts is credited to the Capital Receipts Reserve and can only be used to fund new capital investment or set aside to reduce the council’s underlying need to borrow. Receipts are appropriated to the Reserve from the General Fund Balance in the Movement in Reserves Statement.</w:t>
      </w:r>
    </w:p>
    <w:p w14:paraId="33F89DEC" w14:textId="77777777" w:rsidR="00985055" w:rsidRPr="00183434" w:rsidRDefault="00985055" w:rsidP="00183434">
      <w:pPr>
        <w:pStyle w:val="BodyTextIndent3"/>
        <w:jc w:val="both"/>
        <w:rPr>
          <w:rFonts w:cs="Arial"/>
          <w:szCs w:val="23"/>
        </w:rPr>
      </w:pPr>
    </w:p>
    <w:p w14:paraId="63CF4631" w14:textId="77777777" w:rsidR="00985055" w:rsidRPr="00183434" w:rsidRDefault="00985055" w:rsidP="00183434">
      <w:pPr>
        <w:pStyle w:val="BodyTextIndent3"/>
        <w:jc w:val="both"/>
        <w:rPr>
          <w:rFonts w:cs="Arial"/>
          <w:szCs w:val="23"/>
        </w:rPr>
      </w:pPr>
      <w:r w:rsidRPr="00183434">
        <w:rPr>
          <w:rFonts w:cs="Arial"/>
          <w:szCs w:val="23"/>
        </w:rPr>
        <w:t>The written off value of disposals is not a charge against council tax, as the cost of fixed assets is fully provided for in separate arrangements for capital financing. Amounts are appropriated to the capital adjustment account from the General Fund Balance in the Movement in Reserves Statement.</w:t>
      </w:r>
    </w:p>
    <w:p w14:paraId="21C4AF60" w14:textId="77777777" w:rsidR="00985055" w:rsidRPr="00183434" w:rsidRDefault="00985055" w:rsidP="00183434">
      <w:pPr>
        <w:pStyle w:val="BodyTextIndent3"/>
        <w:jc w:val="both"/>
        <w:rPr>
          <w:rFonts w:cs="Arial"/>
          <w:szCs w:val="23"/>
        </w:rPr>
      </w:pPr>
    </w:p>
    <w:p w14:paraId="1188CD18"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1.15</w:t>
      </w:r>
      <w:r w:rsidRPr="00183434">
        <w:rPr>
          <w:rFonts w:cs="Arial"/>
          <w:bCs/>
          <w:color w:val="000000" w:themeColor="text1"/>
          <w:sz w:val="23"/>
          <w:szCs w:val="23"/>
          <w:u w:val="none"/>
        </w:rPr>
        <w:tab/>
      </w:r>
      <w:r w:rsidRPr="00183434">
        <w:rPr>
          <w:rFonts w:cs="Arial"/>
          <w:bCs/>
          <w:color w:val="000000" w:themeColor="text1"/>
          <w:sz w:val="23"/>
          <w:szCs w:val="23"/>
        </w:rPr>
        <w:t>DEPRECIATION &amp; IMPAIRMENT</w:t>
      </w:r>
    </w:p>
    <w:p w14:paraId="4830D5AE" w14:textId="77777777" w:rsidR="00985055" w:rsidRPr="00183434" w:rsidRDefault="00985055" w:rsidP="00183434">
      <w:pPr>
        <w:jc w:val="both"/>
        <w:rPr>
          <w:rFonts w:cs="Arial"/>
          <w:sz w:val="23"/>
          <w:szCs w:val="23"/>
        </w:rPr>
      </w:pPr>
    </w:p>
    <w:p w14:paraId="14824463" w14:textId="77777777" w:rsidR="00985055" w:rsidRPr="00183434" w:rsidRDefault="00985055" w:rsidP="00183434">
      <w:pPr>
        <w:pStyle w:val="BodyTextIndent3"/>
        <w:jc w:val="both"/>
        <w:rPr>
          <w:rFonts w:cs="Arial"/>
          <w:szCs w:val="23"/>
        </w:rPr>
      </w:pPr>
      <w:r w:rsidRPr="00183434">
        <w:rPr>
          <w:rFonts w:cs="Arial"/>
          <w:b/>
          <w:szCs w:val="23"/>
        </w:rPr>
        <w:t>Depreciation</w:t>
      </w:r>
      <w:r w:rsidRPr="00183434">
        <w:rPr>
          <w:rFonts w:cs="Arial"/>
          <w:szCs w:val="23"/>
        </w:rPr>
        <w:t xml:space="preserve"> is provided on all Property, Plant and Equipment assets by the systematic allocation of their depreciable amounts over their useful lives. An exception is made for assets with no determinable finite useful life (i.e. freehold land and heritage assets) and assets that are not yet available for use (i.e. assets under construction).</w:t>
      </w:r>
    </w:p>
    <w:p w14:paraId="64864B13" w14:textId="77777777" w:rsidR="00985055" w:rsidRPr="00183434" w:rsidRDefault="00985055" w:rsidP="00183434">
      <w:pPr>
        <w:ind w:left="720"/>
        <w:jc w:val="both"/>
        <w:rPr>
          <w:rFonts w:cs="Arial"/>
          <w:sz w:val="23"/>
          <w:szCs w:val="23"/>
        </w:rPr>
      </w:pPr>
    </w:p>
    <w:p w14:paraId="0EFB1230" w14:textId="77777777" w:rsidR="00985055" w:rsidRPr="00183434" w:rsidRDefault="00985055" w:rsidP="00183434">
      <w:pPr>
        <w:ind w:left="720"/>
        <w:jc w:val="both"/>
        <w:rPr>
          <w:rFonts w:cs="Arial"/>
          <w:sz w:val="23"/>
          <w:szCs w:val="23"/>
        </w:rPr>
      </w:pPr>
      <w:r w:rsidRPr="00183434">
        <w:rPr>
          <w:rFonts w:cs="Arial"/>
          <w:sz w:val="23"/>
          <w:szCs w:val="23"/>
        </w:rPr>
        <w:t>Depreciation charges are calculated as follows:</w:t>
      </w:r>
    </w:p>
    <w:p w14:paraId="50F57FB2" w14:textId="77777777" w:rsidR="00985055" w:rsidRPr="00183434" w:rsidRDefault="00985055" w:rsidP="00183434">
      <w:pPr>
        <w:jc w:val="both"/>
        <w:rPr>
          <w:rFonts w:cs="Arial"/>
          <w:sz w:val="23"/>
          <w:szCs w:val="23"/>
        </w:rPr>
      </w:pPr>
      <w:r w:rsidRPr="00183434">
        <w:rPr>
          <w:rFonts w:cs="Arial"/>
          <w:sz w:val="23"/>
          <w:szCs w:val="23"/>
        </w:rPr>
        <w:t xml:space="preserve"> </w:t>
      </w:r>
    </w:p>
    <w:p w14:paraId="7530BBB5" w14:textId="77777777" w:rsidR="00985055" w:rsidRPr="00183434" w:rsidRDefault="00985055" w:rsidP="00183434">
      <w:pPr>
        <w:numPr>
          <w:ilvl w:val="0"/>
          <w:numId w:val="29"/>
        </w:numPr>
        <w:jc w:val="both"/>
        <w:rPr>
          <w:rFonts w:cs="Arial"/>
          <w:sz w:val="23"/>
          <w:szCs w:val="23"/>
        </w:rPr>
      </w:pPr>
      <w:r w:rsidRPr="00183434">
        <w:rPr>
          <w:rFonts w:cs="Arial"/>
          <w:sz w:val="23"/>
          <w:szCs w:val="23"/>
        </w:rPr>
        <w:t>dwellings and other buildings - using the straight-line method over the useful life of the asset (which can be determined at the time of acquisition or revaluation).</w:t>
      </w:r>
    </w:p>
    <w:p w14:paraId="699E0C1B" w14:textId="77777777" w:rsidR="00985055" w:rsidRPr="00183434" w:rsidRDefault="00985055" w:rsidP="00183434">
      <w:pPr>
        <w:ind w:left="720"/>
        <w:jc w:val="both"/>
        <w:rPr>
          <w:rFonts w:cs="Arial"/>
          <w:sz w:val="23"/>
          <w:szCs w:val="23"/>
        </w:rPr>
      </w:pPr>
    </w:p>
    <w:p w14:paraId="6F4363AA" w14:textId="77777777" w:rsidR="00985055" w:rsidRPr="00183434" w:rsidRDefault="00985055" w:rsidP="00183434">
      <w:pPr>
        <w:numPr>
          <w:ilvl w:val="0"/>
          <w:numId w:val="29"/>
        </w:numPr>
        <w:jc w:val="both"/>
        <w:rPr>
          <w:rFonts w:cs="Arial"/>
          <w:sz w:val="23"/>
          <w:szCs w:val="23"/>
        </w:rPr>
      </w:pPr>
      <w:r w:rsidRPr="00183434">
        <w:rPr>
          <w:rFonts w:cs="Arial"/>
          <w:sz w:val="23"/>
          <w:szCs w:val="23"/>
        </w:rPr>
        <w:t xml:space="preserve">Vehicles - depreciated by 25% on a reducing balance basis. </w:t>
      </w:r>
    </w:p>
    <w:p w14:paraId="07535444" w14:textId="77777777" w:rsidR="00985055" w:rsidRPr="00183434" w:rsidRDefault="00985055" w:rsidP="00183434">
      <w:pPr>
        <w:jc w:val="both"/>
        <w:rPr>
          <w:rFonts w:cs="Arial"/>
          <w:sz w:val="23"/>
          <w:szCs w:val="23"/>
        </w:rPr>
      </w:pPr>
    </w:p>
    <w:p w14:paraId="22D47093" w14:textId="77777777" w:rsidR="00985055" w:rsidRPr="00183434" w:rsidRDefault="00985055" w:rsidP="00183434">
      <w:pPr>
        <w:numPr>
          <w:ilvl w:val="0"/>
          <w:numId w:val="29"/>
        </w:numPr>
        <w:jc w:val="both"/>
        <w:rPr>
          <w:rFonts w:cs="Arial"/>
          <w:sz w:val="23"/>
          <w:szCs w:val="23"/>
        </w:rPr>
      </w:pPr>
      <w:r w:rsidRPr="00183434">
        <w:rPr>
          <w:rFonts w:cs="Arial"/>
          <w:sz w:val="23"/>
          <w:szCs w:val="23"/>
        </w:rPr>
        <w:t>Plant and equipment - depreciated on a straight-line basis.</w:t>
      </w:r>
    </w:p>
    <w:p w14:paraId="4AEF6FE6" w14:textId="77777777" w:rsidR="00985055" w:rsidRPr="00183434" w:rsidRDefault="00985055" w:rsidP="00183434">
      <w:pPr>
        <w:ind w:left="720"/>
        <w:jc w:val="both"/>
        <w:rPr>
          <w:rFonts w:cs="Arial"/>
          <w:sz w:val="23"/>
          <w:szCs w:val="23"/>
          <w:highlight w:val="cyan"/>
        </w:rPr>
      </w:pPr>
    </w:p>
    <w:p w14:paraId="5EA4A2BE" w14:textId="77777777" w:rsidR="00985055" w:rsidRPr="00183434" w:rsidRDefault="00985055" w:rsidP="00183434">
      <w:pPr>
        <w:ind w:left="720"/>
        <w:jc w:val="both"/>
        <w:rPr>
          <w:rFonts w:cs="Arial"/>
          <w:sz w:val="23"/>
          <w:szCs w:val="23"/>
        </w:rPr>
      </w:pPr>
      <w:r w:rsidRPr="00183434">
        <w:rPr>
          <w:rFonts w:cs="Arial"/>
          <w:sz w:val="23"/>
          <w:szCs w:val="23"/>
        </w:rPr>
        <w:t>Where an asset has major components with different estimated useful lives, these are depreciated separately.</w:t>
      </w:r>
    </w:p>
    <w:p w14:paraId="6D044B35" w14:textId="77777777" w:rsidR="00985055" w:rsidRPr="00183434" w:rsidRDefault="00985055" w:rsidP="00183434">
      <w:pPr>
        <w:ind w:left="720"/>
        <w:jc w:val="both"/>
        <w:rPr>
          <w:rFonts w:cs="Arial"/>
          <w:sz w:val="23"/>
          <w:szCs w:val="23"/>
        </w:rPr>
      </w:pPr>
    </w:p>
    <w:p w14:paraId="58C61794" w14:textId="77777777" w:rsidR="00985055" w:rsidRPr="00183434" w:rsidRDefault="00985055" w:rsidP="00183434">
      <w:pPr>
        <w:ind w:left="720"/>
        <w:jc w:val="both"/>
        <w:rPr>
          <w:rFonts w:cs="Arial"/>
          <w:sz w:val="23"/>
          <w:szCs w:val="23"/>
        </w:rPr>
      </w:pPr>
      <w:r w:rsidRPr="00183434">
        <w:rPr>
          <w:rFonts w:cs="Arial"/>
          <w:sz w:val="23"/>
          <w:szCs w:val="23"/>
        </w:rPr>
        <w:t>An individual asset or asset group is considered for splitting into components if:</w:t>
      </w:r>
    </w:p>
    <w:p w14:paraId="42837530" w14:textId="77777777" w:rsidR="00985055" w:rsidRPr="00183434" w:rsidRDefault="00985055" w:rsidP="00183434">
      <w:pPr>
        <w:ind w:left="720"/>
        <w:jc w:val="both"/>
        <w:rPr>
          <w:rFonts w:cs="Arial"/>
          <w:sz w:val="23"/>
          <w:szCs w:val="23"/>
        </w:rPr>
      </w:pPr>
    </w:p>
    <w:p w14:paraId="483385E8" w14:textId="77777777" w:rsidR="00985055" w:rsidRPr="00183434" w:rsidRDefault="00985055" w:rsidP="00183434">
      <w:pPr>
        <w:numPr>
          <w:ilvl w:val="0"/>
          <w:numId w:val="27"/>
        </w:numPr>
        <w:jc w:val="both"/>
        <w:rPr>
          <w:rFonts w:cs="Arial"/>
          <w:sz w:val="23"/>
          <w:szCs w:val="23"/>
        </w:rPr>
      </w:pPr>
      <w:r w:rsidRPr="00183434">
        <w:rPr>
          <w:rFonts w:cs="Arial"/>
          <w:sz w:val="23"/>
          <w:szCs w:val="23"/>
        </w:rPr>
        <w:t>the current value of the asset is material (i.e. over £1m)</w:t>
      </w:r>
    </w:p>
    <w:p w14:paraId="7BA4FC74" w14:textId="77777777" w:rsidR="00985055" w:rsidRPr="00183434" w:rsidRDefault="00985055" w:rsidP="00183434">
      <w:pPr>
        <w:numPr>
          <w:ilvl w:val="0"/>
          <w:numId w:val="27"/>
        </w:numPr>
        <w:jc w:val="both"/>
        <w:rPr>
          <w:rFonts w:cs="Arial"/>
          <w:sz w:val="23"/>
          <w:szCs w:val="23"/>
        </w:rPr>
      </w:pPr>
      <w:r w:rsidRPr="00183434">
        <w:rPr>
          <w:rFonts w:cs="Arial"/>
          <w:sz w:val="23"/>
          <w:szCs w:val="23"/>
        </w:rPr>
        <w:t>the value of an individual component is more than 15% of total asset value</w:t>
      </w:r>
    </w:p>
    <w:p w14:paraId="0375F2EB" w14:textId="77777777" w:rsidR="00985055" w:rsidRPr="00183434" w:rsidRDefault="00985055" w:rsidP="00183434">
      <w:pPr>
        <w:numPr>
          <w:ilvl w:val="0"/>
          <w:numId w:val="27"/>
        </w:numPr>
        <w:jc w:val="both"/>
        <w:rPr>
          <w:rFonts w:cs="Arial"/>
          <w:sz w:val="23"/>
          <w:szCs w:val="23"/>
        </w:rPr>
      </w:pPr>
      <w:r w:rsidRPr="00183434">
        <w:rPr>
          <w:rFonts w:cs="Arial"/>
          <w:sz w:val="23"/>
          <w:szCs w:val="23"/>
        </w:rPr>
        <w:t>the component life is significantly different to the life of the main asset</w:t>
      </w:r>
    </w:p>
    <w:p w14:paraId="5EF4CFC0" w14:textId="77777777" w:rsidR="00985055" w:rsidRPr="00183434" w:rsidRDefault="00985055" w:rsidP="00183434">
      <w:pPr>
        <w:jc w:val="both"/>
        <w:rPr>
          <w:rFonts w:cs="Arial"/>
          <w:sz w:val="23"/>
          <w:szCs w:val="23"/>
        </w:rPr>
      </w:pPr>
    </w:p>
    <w:p w14:paraId="70D2E34C" w14:textId="77777777" w:rsidR="00985055" w:rsidRPr="00183434" w:rsidRDefault="00985055" w:rsidP="00183434">
      <w:pPr>
        <w:ind w:left="720"/>
        <w:jc w:val="both"/>
        <w:rPr>
          <w:rFonts w:cs="Arial"/>
          <w:sz w:val="23"/>
          <w:szCs w:val="23"/>
        </w:rPr>
      </w:pPr>
      <w:r w:rsidRPr="00183434">
        <w:rPr>
          <w:rFonts w:cs="Arial"/>
          <w:sz w:val="23"/>
          <w:szCs w:val="23"/>
        </w:rPr>
        <w:t>Revaluation gains are also depreciated, with an amount equal to the difference between current value depreciation charged on assets and the depreciation that would have been chargeable based on their historical cost being transferred each year from the revaluation reserve to the capital adjustment account.</w:t>
      </w:r>
    </w:p>
    <w:p w14:paraId="6566BFB0" w14:textId="77777777" w:rsidR="00985055" w:rsidRPr="00183434" w:rsidRDefault="00985055" w:rsidP="00183434">
      <w:pPr>
        <w:pStyle w:val="Heading2"/>
        <w:jc w:val="both"/>
        <w:rPr>
          <w:rFonts w:cs="Arial"/>
          <w:sz w:val="23"/>
          <w:szCs w:val="23"/>
          <w:highlight w:val="cyan"/>
        </w:rPr>
      </w:pPr>
    </w:p>
    <w:p w14:paraId="31D49E20" w14:textId="77777777" w:rsidR="00985055" w:rsidRPr="00183434" w:rsidRDefault="00985055" w:rsidP="00183434">
      <w:pPr>
        <w:ind w:left="720"/>
        <w:jc w:val="both"/>
        <w:rPr>
          <w:rFonts w:cs="Arial"/>
          <w:sz w:val="23"/>
          <w:szCs w:val="23"/>
        </w:rPr>
      </w:pPr>
      <w:r w:rsidRPr="00183434">
        <w:rPr>
          <w:rFonts w:cs="Arial"/>
          <w:b/>
          <w:sz w:val="23"/>
          <w:szCs w:val="23"/>
        </w:rPr>
        <w:t>Impairment</w:t>
      </w:r>
      <w:r w:rsidRPr="00183434">
        <w:rPr>
          <w:rFonts w:cs="Arial"/>
          <w:sz w:val="23"/>
          <w:szCs w:val="23"/>
        </w:rPr>
        <w:t xml:space="preserve"> – The value of assets </w:t>
      </w:r>
      <w:proofErr w:type="gramStart"/>
      <w:r w:rsidRPr="00183434">
        <w:rPr>
          <w:rFonts w:cs="Arial"/>
          <w:sz w:val="23"/>
          <w:szCs w:val="23"/>
        </w:rPr>
        <w:t>are</w:t>
      </w:r>
      <w:proofErr w:type="gramEnd"/>
      <w:r w:rsidRPr="00183434">
        <w:rPr>
          <w:rFonts w:cs="Arial"/>
          <w:sz w:val="23"/>
          <w:szCs w:val="23"/>
        </w:rPr>
        <w:t xml:space="preserve"> reviewed at the end of each year for evidence of reductions in value. Where impairment is identified and possible losses are estimated to be material, the recoverable amount of the asset is estimated and, where this is less </w:t>
      </w:r>
      <w:r w:rsidRPr="00183434">
        <w:rPr>
          <w:rFonts w:cs="Arial"/>
          <w:sz w:val="23"/>
          <w:szCs w:val="23"/>
        </w:rPr>
        <w:lastRenderedPageBreak/>
        <w:t>than the carrying amount of the asset, an impairment loss is recognised and accounted for as follows:</w:t>
      </w:r>
    </w:p>
    <w:p w14:paraId="44C30DA3" w14:textId="77777777" w:rsidR="00985055" w:rsidRPr="00183434" w:rsidRDefault="00985055" w:rsidP="00183434">
      <w:pPr>
        <w:ind w:left="720"/>
        <w:jc w:val="both"/>
        <w:rPr>
          <w:rFonts w:cs="Arial"/>
          <w:sz w:val="23"/>
          <w:szCs w:val="23"/>
        </w:rPr>
      </w:pPr>
    </w:p>
    <w:p w14:paraId="09EF0228" w14:textId="77777777" w:rsidR="00985055" w:rsidRPr="00183434" w:rsidRDefault="00985055" w:rsidP="00183434">
      <w:pPr>
        <w:numPr>
          <w:ilvl w:val="0"/>
          <w:numId w:val="23"/>
        </w:numPr>
        <w:jc w:val="both"/>
        <w:rPr>
          <w:rFonts w:cs="Arial"/>
          <w:sz w:val="23"/>
          <w:szCs w:val="23"/>
        </w:rPr>
      </w:pPr>
      <w:r w:rsidRPr="00183434">
        <w:rPr>
          <w:rFonts w:cs="Arial"/>
          <w:sz w:val="23"/>
          <w:szCs w:val="23"/>
        </w:rPr>
        <w:t xml:space="preserve">where there is a balance of revaluation gains for the asset in the revaluation reserve, the carrying amount is written down against that balance (up to the </w:t>
      </w:r>
      <w:proofErr w:type="gramStart"/>
      <w:r w:rsidRPr="00183434">
        <w:rPr>
          <w:rFonts w:cs="Arial"/>
          <w:sz w:val="23"/>
          <w:szCs w:val="23"/>
        </w:rPr>
        <w:t>amount</w:t>
      </w:r>
      <w:proofErr w:type="gramEnd"/>
      <w:r w:rsidRPr="00183434">
        <w:rPr>
          <w:rFonts w:cs="Arial"/>
          <w:sz w:val="23"/>
          <w:szCs w:val="23"/>
        </w:rPr>
        <w:t xml:space="preserve"> of accumulated gains)</w:t>
      </w:r>
    </w:p>
    <w:p w14:paraId="31326723" w14:textId="77777777" w:rsidR="00985055" w:rsidRPr="00183434" w:rsidRDefault="00985055" w:rsidP="00183434">
      <w:pPr>
        <w:numPr>
          <w:ilvl w:val="0"/>
          <w:numId w:val="23"/>
        </w:numPr>
        <w:jc w:val="both"/>
        <w:rPr>
          <w:rFonts w:cs="Arial"/>
          <w:sz w:val="23"/>
          <w:szCs w:val="23"/>
        </w:rPr>
      </w:pPr>
      <w:r w:rsidRPr="00183434">
        <w:rPr>
          <w:rFonts w:cs="Arial"/>
          <w:sz w:val="23"/>
          <w:szCs w:val="23"/>
        </w:rPr>
        <w:t>where there is no balance in the revaluation reserve or an insufficient balance, the carrying amount of the asset is written down against the relevant service line in the Comprehensive Income and Expenditure Statement</w:t>
      </w:r>
    </w:p>
    <w:p w14:paraId="75AB82CD" w14:textId="77777777" w:rsidR="00985055" w:rsidRPr="00183434" w:rsidRDefault="00985055" w:rsidP="00183434">
      <w:pPr>
        <w:jc w:val="both"/>
        <w:rPr>
          <w:rFonts w:cs="Arial"/>
          <w:sz w:val="23"/>
          <w:szCs w:val="23"/>
        </w:rPr>
      </w:pPr>
    </w:p>
    <w:p w14:paraId="4FC5F18D" w14:textId="77777777" w:rsidR="00985055" w:rsidRPr="00183434" w:rsidRDefault="00985055" w:rsidP="00183434">
      <w:pPr>
        <w:ind w:left="720"/>
        <w:jc w:val="both"/>
        <w:rPr>
          <w:rFonts w:cs="Arial"/>
          <w:sz w:val="23"/>
          <w:szCs w:val="23"/>
        </w:rPr>
      </w:pPr>
      <w:r w:rsidRPr="00183434">
        <w:rPr>
          <w:rFonts w:cs="Arial"/>
          <w:sz w:val="23"/>
          <w:szCs w:val="23"/>
        </w:rPr>
        <w:t>Where an impairment loss is subsequently reversed, the relevant service line in the Comprehensive Income and Expenditure Statement is credited up to the amount of the original loss, adjusted for depreciation that would have been charged if the loss had not been recognised.</w:t>
      </w:r>
    </w:p>
    <w:p w14:paraId="77D08A75" w14:textId="77777777" w:rsidR="00985055" w:rsidRPr="00183434" w:rsidRDefault="00985055" w:rsidP="00183434">
      <w:pPr>
        <w:ind w:left="720"/>
        <w:jc w:val="both"/>
        <w:rPr>
          <w:rFonts w:cs="Arial"/>
          <w:sz w:val="23"/>
          <w:szCs w:val="23"/>
          <w:highlight w:val="cyan"/>
        </w:rPr>
      </w:pPr>
    </w:p>
    <w:p w14:paraId="165C9B59" w14:textId="77777777" w:rsidR="00985055" w:rsidRPr="00183434" w:rsidRDefault="00985055" w:rsidP="00183434">
      <w:pPr>
        <w:jc w:val="both"/>
        <w:rPr>
          <w:rFonts w:cs="Arial"/>
          <w:sz w:val="23"/>
          <w:szCs w:val="23"/>
        </w:rPr>
      </w:pPr>
    </w:p>
    <w:p w14:paraId="79C06E16"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1.16</w:t>
      </w:r>
      <w:r w:rsidRPr="00183434">
        <w:rPr>
          <w:rFonts w:cs="Arial"/>
          <w:bCs/>
          <w:color w:val="000000" w:themeColor="text1"/>
          <w:sz w:val="23"/>
          <w:szCs w:val="23"/>
          <w:u w:val="none"/>
        </w:rPr>
        <w:tab/>
      </w:r>
      <w:r w:rsidRPr="00183434">
        <w:rPr>
          <w:rFonts w:cs="Arial"/>
          <w:bCs/>
          <w:color w:val="000000" w:themeColor="text1"/>
          <w:sz w:val="23"/>
          <w:szCs w:val="23"/>
        </w:rPr>
        <w:t>HERITAGE ASSETS</w:t>
      </w:r>
    </w:p>
    <w:p w14:paraId="664C2A24" w14:textId="77777777" w:rsidR="00985055" w:rsidRPr="00183434" w:rsidRDefault="00985055" w:rsidP="00183434">
      <w:pPr>
        <w:jc w:val="both"/>
        <w:rPr>
          <w:rFonts w:cs="Arial"/>
          <w:sz w:val="23"/>
          <w:szCs w:val="23"/>
        </w:rPr>
      </w:pPr>
    </w:p>
    <w:p w14:paraId="12F99381" w14:textId="77777777" w:rsidR="00985055" w:rsidRPr="00183434" w:rsidRDefault="00985055" w:rsidP="00183434">
      <w:pPr>
        <w:ind w:left="720"/>
        <w:jc w:val="both"/>
        <w:rPr>
          <w:rFonts w:cs="Arial"/>
          <w:sz w:val="23"/>
          <w:szCs w:val="23"/>
        </w:rPr>
      </w:pPr>
      <w:r w:rsidRPr="00183434">
        <w:rPr>
          <w:rFonts w:cs="Arial"/>
          <w:sz w:val="23"/>
          <w:szCs w:val="23"/>
        </w:rPr>
        <w:t xml:space="preserve">The Authority has seven classes of heritage assets. They are recognised and measured in accordance with the Authority’s accounting policies on property, plant and equipment. However, some of the measurement rules are relaxed in relation to heritage assets. All heritage assets identified have indefinite lives and will therefore not be subject to depreciation. </w:t>
      </w:r>
    </w:p>
    <w:p w14:paraId="0B9C68F9" w14:textId="77777777" w:rsidR="00985055" w:rsidRPr="00183434" w:rsidRDefault="00985055" w:rsidP="00183434">
      <w:pPr>
        <w:jc w:val="both"/>
        <w:rPr>
          <w:rFonts w:cs="Arial"/>
          <w:sz w:val="23"/>
          <w:szCs w:val="23"/>
        </w:rPr>
      </w:pPr>
    </w:p>
    <w:p w14:paraId="0A73D946" w14:textId="77777777" w:rsidR="00985055" w:rsidRPr="00183434" w:rsidRDefault="00985055" w:rsidP="00183434">
      <w:pPr>
        <w:ind w:left="720"/>
        <w:jc w:val="both"/>
        <w:rPr>
          <w:rFonts w:cs="Arial"/>
          <w:sz w:val="23"/>
          <w:szCs w:val="23"/>
        </w:rPr>
      </w:pPr>
      <w:r w:rsidRPr="00183434">
        <w:rPr>
          <w:rFonts w:cs="Arial"/>
          <w:sz w:val="23"/>
          <w:szCs w:val="23"/>
        </w:rPr>
        <w:t>The carrying amount of heritage assets are reviewed when there is evidence of impairment. Any impairment is recognised and measured in accordance with the Authority’s general policy on impairment. Any proceeds from disposals are disclosed separately in the notes to the financial statements and are accounted for in accordance with statutory accounting requirements relating to capital expenditure and capital receipts.</w:t>
      </w:r>
    </w:p>
    <w:p w14:paraId="19630A7B" w14:textId="77777777" w:rsidR="00985055" w:rsidRPr="00183434" w:rsidRDefault="00985055" w:rsidP="00183434">
      <w:pPr>
        <w:ind w:left="720"/>
        <w:jc w:val="both"/>
        <w:rPr>
          <w:rFonts w:cs="Arial"/>
          <w:sz w:val="23"/>
          <w:szCs w:val="23"/>
        </w:rPr>
      </w:pPr>
    </w:p>
    <w:p w14:paraId="0795BF11" w14:textId="77777777" w:rsidR="00985055" w:rsidRPr="00183434" w:rsidRDefault="00985055" w:rsidP="00183434">
      <w:pPr>
        <w:ind w:left="720"/>
        <w:jc w:val="both"/>
        <w:rPr>
          <w:rFonts w:cs="Arial"/>
          <w:sz w:val="23"/>
          <w:szCs w:val="23"/>
        </w:rPr>
      </w:pPr>
      <w:r w:rsidRPr="00183434">
        <w:rPr>
          <w:rFonts w:cs="Arial"/>
          <w:sz w:val="23"/>
          <w:szCs w:val="23"/>
        </w:rPr>
        <w:t>The de-minimis level for individual heritage assets is £50,000 (excluding assets that have already been recognised). For practical reasons, Mayoral Regalia, Civic Plate, Paintings and Porcelain and the Museum Collection will be treated as one group and a lower de-minimis level of £10,000 will therefore be applied to additions/disposals which impact on this group.</w:t>
      </w:r>
    </w:p>
    <w:p w14:paraId="16CFB35D" w14:textId="77777777" w:rsidR="00985055" w:rsidRPr="00183434" w:rsidRDefault="00985055" w:rsidP="00183434">
      <w:pPr>
        <w:jc w:val="both"/>
        <w:rPr>
          <w:rFonts w:cs="Arial"/>
          <w:sz w:val="23"/>
          <w:szCs w:val="23"/>
        </w:rPr>
      </w:pPr>
    </w:p>
    <w:p w14:paraId="3920B580" w14:textId="77777777" w:rsidR="00985055" w:rsidRPr="00183434" w:rsidRDefault="00985055" w:rsidP="00183434">
      <w:pPr>
        <w:pStyle w:val="Heading2"/>
        <w:jc w:val="both"/>
        <w:rPr>
          <w:rFonts w:cs="Arial"/>
          <w:b w:val="0"/>
          <w:bCs/>
          <w:sz w:val="23"/>
          <w:szCs w:val="23"/>
        </w:rPr>
      </w:pPr>
      <w:r w:rsidRPr="00183434">
        <w:rPr>
          <w:rFonts w:cs="Arial"/>
          <w:bCs/>
          <w:color w:val="000000" w:themeColor="text1"/>
          <w:sz w:val="23"/>
          <w:szCs w:val="23"/>
          <w:u w:val="none"/>
        </w:rPr>
        <w:t>1.17</w:t>
      </w:r>
      <w:r w:rsidRPr="00183434">
        <w:rPr>
          <w:rFonts w:cs="Arial"/>
          <w:bCs/>
          <w:color w:val="000000" w:themeColor="text1"/>
          <w:sz w:val="23"/>
          <w:szCs w:val="23"/>
          <w:u w:val="none"/>
        </w:rPr>
        <w:tab/>
      </w:r>
      <w:r w:rsidRPr="00183434">
        <w:rPr>
          <w:rFonts w:cs="Arial"/>
          <w:bCs/>
          <w:color w:val="000000" w:themeColor="text1"/>
          <w:sz w:val="23"/>
          <w:szCs w:val="23"/>
        </w:rPr>
        <w:t>CHARGES TO REVENUE FOR NON-CURRENT ASSETS</w:t>
      </w:r>
    </w:p>
    <w:p w14:paraId="36DFCA9D" w14:textId="77777777" w:rsidR="00985055" w:rsidRPr="00183434" w:rsidRDefault="00985055" w:rsidP="00183434">
      <w:pPr>
        <w:jc w:val="both"/>
        <w:rPr>
          <w:rFonts w:cs="Arial"/>
          <w:sz w:val="23"/>
          <w:szCs w:val="23"/>
        </w:rPr>
      </w:pPr>
    </w:p>
    <w:p w14:paraId="426CBE14" w14:textId="77777777" w:rsidR="00985055" w:rsidRPr="00183434" w:rsidRDefault="00985055" w:rsidP="00183434">
      <w:pPr>
        <w:ind w:left="720"/>
        <w:jc w:val="both"/>
        <w:rPr>
          <w:rFonts w:cs="Arial"/>
          <w:sz w:val="23"/>
          <w:szCs w:val="23"/>
        </w:rPr>
      </w:pPr>
      <w:r w:rsidRPr="00183434">
        <w:rPr>
          <w:rFonts w:cs="Arial"/>
          <w:sz w:val="23"/>
          <w:szCs w:val="23"/>
        </w:rPr>
        <w:t>Service revenue accounts, support services and trading accounts are charged with the following amounts to record the real cost of holding non-current assets used in the provision of services during the year.</w:t>
      </w:r>
    </w:p>
    <w:p w14:paraId="60C4E552" w14:textId="77777777" w:rsidR="00985055" w:rsidRPr="00183434" w:rsidRDefault="00985055" w:rsidP="00183434">
      <w:pPr>
        <w:ind w:left="720"/>
        <w:jc w:val="both"/>
        <w:rPr>
          <w:rFonts w:cs="Arial"/>
          <w:sz w:val="23"/>
          <w:szCs w:val="23"/>
        </w:rPr>
      </w:pPr>
    </w:p>
    <w:p w14:paraId="7C9E75BE" w14:textId="77777777" w:rsidR="00985055" w:rsidRPr="00183434" w:rsidRDefault="00985055" w:rsidP="00183434">
      <w:pPr>
        <w:numPr>
          <w:ilvl w:val="0"/>
          <w:numId w:val="8"/>
        </w:numPr>
        <w:tabs>
          <w:tab w:val="clear" w:pos="360"/>
          <w:tab w:val="num" w:pos="1200"/>
        </w:tabs>
        <w:ind w:left="1200"/>
        <w:jc w:val="both"/>
        <w:rPr>
          <w:rFonts w:cs="Arial"/>
          <w:sz w:val="23"/>
          <w:szCs w:val="23"/>
        </w:rPr>
      </w:pPr>
      <w:r w:rsidRPr="00183434">
        <w:rPr>
          <w:rFonts w:cs="Arial"/>
          <w:sz w:val="23"/>
          <w:szCs w:val="23"/>
        </w:rPr>
        <w:t>depreciation attributable to the assets used by the relevant service</w:t>
      </w:r>
    </w:p>
    <w:p w14:paraId="6617FCFF" w14:textId="77777777" w:rsidR="00985055" w:rsidRPr="00183434" w:rsidRDefault="00985055" w:rsidP="00183434">
      <w:pPr>
        <w:numPr>
          <w:ilvl w:val="0"/>
          <w:numId w:val="8"/>
        </w:numPr>
        <w:tabs>
          <w:tab w:val="clear" w:pos="360"/>
          <w:tab w:val="num" w:pos="1200"/>
        </w:tabs>
        <w:ind w:left="1200"/>
        <w:jc w:val="both"/>
        <w:rPr>
          <w:rFonts w:cs="Arial"/>
          <w:sz w:val="23"/>
          <w:szCs w:val="23"/>
        </w:rPr>
      </w:pPr>
      <w:r w:rsidRPr="00183434">
        <w:rPr>
          <w:rFonts w:cs="Arial"/>
          <w:sz w:val="23"/>
          <w:szCs w:val="23"/>
        </w:rPr>
        <w:t>revaluation and impairment losses on assets used by the service where there are no accumulated gains in the revaluation reserve against which they can be written off</w:t>
      </w:r>
    </w:p>
    <w:p w14:paraId="4151AFF5" w14:textId="77777777" w:rsidR="00985055" w:rsidRPr="00183434" w:rsidRDefault="00985055" w:rsidP="00183434">
      <w:pPr>
        <w:numPr>
          <w:ilvl w:val="0"/>
          <w:numId w:val="8"/>
        </w:numPr>
        <w:tabs>
          <w:tab w:val="clear" w:pos="360"/>
          <w:tab w:val="num" w:pos="1200"/>
        </w:tabs>
        <w:ind w:left="1200"/>
        <w:jc w:val="both"/>
        <w:rPr>
          <w:rFonts w:cs="Arial"/>
          <w:sz w:val="23"/>
          <w:szCs w:val="23"/>
        </w:rPr>
      </w:pPr>
      <w:r w:rsidRPr="00183434">
        <w:rPr>
          <w:rFonts w:cs="Arial"/>
          <w:sz w:val="23"/>
          <w:szCs w:val="23"/>
        </w:rPr>
        <w:t>amortisation of intangible fixed assets attributable to the service.</w:t>
      </w:r>
    </w:p>
    <w:p w14:paraId="75D8245D" w14:textId="77777777" w:rsidR="00985055" w:rsidRPr="00183434" w:rsidRDefault="00985055" w:rsidP="00183434">
      <w:pPr>
        <w:ind w:left="720"/>
        <w:jc w:val="both"/>
        <w:rPr>
          <w:rFonts w:cs="Arial"/>
          <w:sz w:val="23"/>
          <w:szCs w:val="23"/>
        </w:rPr>
      </w:pPr>
    </w:p>
    <w:p w14:paraId="7FF8063B" w14:textId="77777777" w:rsidR="00985055" w:rsidRPr="00183434" w:rsidRDefault="00985055" w:rsidP="00183434">
      <w:pPr>
        <w:ind w:left="720"/>
        <w:jc w:val="both"/>
        <w:rPr>
          <w:rFonts w:cs="Arial"/>
          <w:sz w:val="23"/>
          <w:szCs w:val="23"/>
        </w:rPr>
      </w:pPr>
      <w:r w:rsidRPr="00183434">
        <w:rPr>
          <w:rFonts w:cs="Arial"/>
          <w:sz w:val="23"/>
          <w:szCs w:val="23"/>
        </w:rPr>
        <w:t xml:space="preserve">The authority is not required to raise council tax to cover depreciation, revaluation and impairment losses or amortisations. However, it is required to make an annual contribution from revenue towards the reduction in its overall borrowing requirement (equal to an amount calculated on a prudent basis in accordance with statutory guidance). This is referred to as the Minimum Revenue Provision (MRP). </w:t>
      </w:r>
    </w:p>
    <w:p w14:paraId="69140EC6" w14:textId="77777777" w:rsidR="00985055" w:rsidRPr="00183434" w:rsidRDefault="00985055" w:rsidP="00183434">
      <w:pPr>
        <w:ind w:left="720"/>
        <w:jc w:val="both"/>
        <w:rPr>
          <w:rFonts w:cs="Arial"/>
          <w:sz w:val="23"/>
          <w:szCs w:val="23"/>
        </w:rPr>
      </w:pPr>
    </w:p>
    <w:p w14:paraId="4187C02F" w14:textId="77777777" w:rsidR="00985055" w:rsidRPr="00183434" w:rsidRDefault="00985055" w:rsidP="00183434">
      <w:pPr>
        <w:ind w:left="720"/>
        <w:jc w:val="both"/>
        <w:rPr>
          <w:rFonts w:cs="Arial"/>
          <w:sz w:val="23"/>
          <w:szCs w:val="23"/>
        </w:rPr>
      </w:pPr>
      <w:r w:rsidRPr="00183434">
        <w:rPr>
          <w:rFonts w:cs="Arial"/>
          <w:sz w:val="23"/>
          <w:szCs w:val="23"/>
        </w:rPr>
        <w:lastRenderedPageBreak/>
        <w:t>Depreciation, revaluation and impairment losses and amortisations are therefore replaced by the MRP, by way of an adjusting transaction with the Capital Adjustment Account in the Movement in Reserves Statement for the difference between the two.</w:t>
      </w:r>
    </w:p>
    <w:p w14:paraId="0FE4A764" w14:textId="77777777" w:rsidR="00985055" w:rsidRPr="00183434" w:rsidRDefault="00985055" w:rsidP="00183434">
      <w:pPr>
        <w:ind w:left="720"/>
        <w:jc w:val="both"/>
        <w:rPr>
          <w:rFonts w:cs="Arial"/>
          <w:sz w:val="23"/>
          <w:szCs w:val="23"/>
        </w:rPr>
      </w:pPr>
      <w:r w:rsidRPr="00183434">
        <w:rPr>
          <w:rFonts w:cs="Arial"/>
          <w:sz w:val="23"/>
          <w:szCs w:val="23"/>
          <w:highlight w:val="cyan"/>
        </w:rPr>
        <w:t xml:space="preserve"> </w:t>
      </w:r>
    </w:p>
    <w:p w14:paraId="51F65269"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1.18</w:t>
      </w:r>
      <w:r w:rsidRPr="00183434">
        <w:rPr>
          <w:rFonts w:cs="Arial"/>
          <w:bCs/>
          <w:color w:val="000000" w:themeColor="text1"/>
          <w:sz w:val="23"/>
          <w:szCs w:val="23"/>
          <w:u w:val="none"/>
        </w:rPr>
        <w:tab/>
      </w:r>
      <w:r w:rsidRPr="00183434">
        <w:rPr>
          <w:rFonts w:cs="Arial"/>
          <w:bCs/>
          <w:color w:val="000000" w:themeColor="text1"/>
          <w:sz w:val="23"/>
          <w:szCs w:val="23"/>
        </w:rPr>
        <w:t>REVENUE EXPENDITURE FUNDED FROM CAPITAL UNDER STATUTE</w:t>
      </w:r>
    </w:p>
    <w:p w14:paraId="71C470FD" w14:textId="77777777" w:rsidR="00985055" w:rsidRPr="00183434" w:rsidRDefault="00985055" w:rsidP="00183434">
      <w:pPr>
        <w:jc w:val="both"/>
        <w:rPr>
          <w:rFonts w:cs="Arial"/>
          <w:sz w:val="23"/>
          <w:szCs w:val="23"/>
        </w:rPr>
      </w:pPr>
    </w:p>
    <w:p w14:paraId="182F9ADD" w14:textId="77777777" w:rsidR="00985055" w:rsidRPr="00183434" w:rsidRDefault="00985055" w:rsidP="00183434">
      <w:pPr>
        <w:ind w:left="720"/>
        <w:jc w:val="both"/>
        <w:rPr>
          <w:rFonts w:cs="Arial"/>
          <w:sz w:val="23"/>
          <w:szCs w:val="23"/>
        </w:rPr>
      </w:pPr>
      <w:r w:rsidRPr="00183434">
        <w:rPr>
          <w:rFonts w:cs="Arial"/>
          <w:sz w:val="23"/>
          <w:szCs w:val="23"/>
        </w:rPr>
        <w:t>Expenditure incurred during the year that may be capitalised under statutory provisions but does not result in the creation of a non-current asset, has been charged as expenditure to the relevant service in the Comprehensive Income and Expenditure Statement in the year.</w:t>
      </w:r>
    </w:p>
    <w:p w14:paraId="7554DAFC" w14:textId="77777777" w:rsidR="00985055" w:rsidRPr="00183434" w:rsidRDefault="00985055" w:rsidP="00183434">
      <w:pPr>
        <w:ind w:left="720"/>
        <w:jc w:val="both"/>
        <w:rPr>
          <w:rFonts w:cs="Arial"/>
          <w:sz w:val="23"/>
          <w:szCs w:val="23"/>
        </w:rPr>
      </w:pPr>
    </w:p>
    <w:p w14:paraId="5361F96B" w14:textId="77777777" w:rsidR="00985055" w:rsidRPr="00183434" w:rsidRDefault="00985055" w:rsidP="00183434">
      <w:pPr>
        <w:ind w:left="720"/>
        <w:jc w:val="both"/>
        <w:rPr>
          <w:rFonts w:cs="Arial"/>
          <w:sz w:val="23"/>
          <w:szCs w:val="23"/>
        </w:rPr>
      </w:pPr>
      <w:r w:rsidRPr="00183434">
        <w:rPr>
          <w:rFonts w:cs="Arial"/>
          <w:sz w:val="23"/>
          <w:szCs w:val="23"/>
        </w:rPr>
        <w:t>Where the cost of this expenditure is met from existing capital resources or borrowing, a transfer in the Movement in Reserves Statement from the General Fund Balance to the Capital Adjustment Account reverses out the amounts charged so there is no impact on the level of council tax.</w:t>
      </w:r>
    </w:p>
    <w:p w14:paraId="70AA7215" w14:textId="77777777" w:rsidR="00985055" w:rsidRPr="00183434" w:rsidRDefault="00985055" w:rsidP="00183434">
      <w:pPr>
        <w:jc w:val="both"/>
        <w:rPr>
          <w:rFonts w:cs="Arial"/>
          <w:sz w:val="23"/>
          <w:szCs w:val="23"/>
          <w:highlight w:val="cyan"/>
        </w:rPr>
      </w:pPr>
    </w:p>
    <w:p w14:paraId="55E78544" w14:textId="77777777"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t>1.19</w:t>
      </w:r>
      <w:r w:rsidRPr="00183434">
        <w:rPr>
          <w:rFonts w:cs="Arial"/>
          <w:bCs/>
          <w:color w:val="000000" w:themeColor="text1"/>
          <w:sz w:val="23"/>
          <w:szCs w:val="23"/>
          <w:u w:val="none"/>
        </w:rPr>
        <w:tab/>
      </w:r>
      <w:r w:rsidRPr="00183434">
        <w:rPr>
          <w:rFonts w:cs="Arial"/>
          <w:bCs/>
          <w:color w:val="000000" w:themeColor="text1"/>
          <w:sz w:val="23"/>
          <w:szCs w:val="23"/>
        </w:rPr>
        <w:t>GOVERNMENT GRANTS AND CONTRIBUTIONS</w:t>
      </w:r>
    </w:p>
    <w:p w14:paraId="2DF06270" w14:textId="77777777" w:rsidR="00985055" w:rsidRPr="00183434" w:rsidRDefault="00985055" w:rsidP="00183434">
      <w:pPr>
        <w:jc w:val="both"/>
        <w:rPr>
          <w:rFonts w:cs="Arial"/>
          <w:sz w:val="23"/>
          <w:szCs w:val="23"/>
        </w:rPr>
      </w:pPr>
    </w:p>
    <w:p w14:paraId="79FD2944" w14:textId="77777777" w:rsidR="00985055" w:rsidRPr="00183434" w:rsidRDefault="00985055" w:rsidP="00183434">
      <w:pPr>
        <w:ind w:left="720"/>
        <w:jc w:val="both"/>
        <w:rPr>
          <w:rFonts w:cs="Arial"/>
          <w:sz w:val="23"/>
          <w:szCs w:val="23"/>
        </w:rPr>
      </w:pPr>
      <w:r w:rsidRPr="00183434">
        <w:rPr>
          <w:rFonts w:cs="Arial"/>
          <w:sz w:val="23"/>
          <w:szCs w:val="23"/>
        </w:rPr>
        <w:t>Government grants and other contributions and donations are recognised as due to the Authority when there is reasonable assurance that:</w:t>
      </w:r>
    </w:p>
    <w:p w14:paraId="002519F5" w14:textId="77777777" w:rsidR="00985055" w:rsidRPr="00183434" w:rsidRDefault="00985055" w:rsidP="00183434">
      <w:pPr>
        <w:ind w:left="720"/>
        <w:jc w:val="both"/>
        <w:rPr>
          <w:rFonts w:cs="Arial"/>
          <w:sz w:val="23"/>
          <w:szCs w:val="23"/>
        </w:rPr>
      </w:pPr>
    </w:p>
    <w:p w14:paraId="2A61700C" w14:textId="77777777" w:rsidR="00985055" w:rsidRPr="00183434" w:rsidRDefault="00985055" w:rsidP="00183434">
      <w:pPr>
        <w:numPr>
          <w:ilvl w:val="0"/>
          <w:numId w:val="21"/>
        </w:numPr>
        <w:jc w:val="both"/>
        <w:rPr>
          <w:rFonts w:cs="Arial"/>
          <w:sz w:val="23"/>
          <w:szCs w:val="23"/>
        </w:rPr>
      </w:pPr>
      <w:r w:rsidRPr="00183434">
        <w:rPr>
          <w:rFonts w:cs="Arial"/>
          <w:sz w:val="23"/>
          <w:szCs w:val="23"/>
        </w:rPr>
        <w:t>the authority will comply with the conditions attached to the payments, and</w:t>
      </w:r>
    </w:p>
    <w:p w14:paraId="77143DFF" w14:textId="77777777" w:rsidR="00985055" w:rsidRPr="00183434" w:rsidRDefault="00985055" w:rsidP="00183434">
      <w:pPr>
        <w:ind w:left="780"/>
        <w:jc w:val="both"/>
        <w:rPr>
          <w:rFonts w:cs="Arial"/>
          <w:sz w:val="23"/>
          <w:szCs w:val="23"/>
        </w:rPr>
      </w:pPr>
    </w:p>
    <w:p w14:paraId="5E9B4C5B" w14:textId="77777777" w:rsidR="00985055" w:rsidRPr="00183434" w:rsidRDefault="00985055" w:rsidP="00183434">
      <w:pPr>
        <w:numPr>
          <w:ilvl w:val="0"/>
          <w:numId w:val="21"/>
        </w:numPr>
        <w:jc w:val="both"/>
        <w:rPr>
          <w:rFonts w:cs="Arial"/>
          <w:sz w:val="23"/>
          <w:szCs w:val="23"/>
        </w:rPr>
      </w:pPr>
      <w:r w:rsidRPr="00183434">
        <w:rPr>
          <w:rFonts w:cs="Arial"/>
          <w:sz w:val="23"/>
          <w:szCs w:val="23"/>
        </w:rPr>
        <w:t>the grants or contributions will be received</w:t>
      </w:r>
    </w:p>
    <w:p w14:paraId="06CD2E7B" w14:textId="77777777" w:rsidR="00985055" w:rsidRPr="00183434" w:rsidRDefault="00985055" w:rsidP="00183434">
      <w:pPr>
        <w:jc w:val="both"/>
        <w:rPr>
          <w:rFonts w:cs="Arial"/>
          <w:sz w:val="23"/>
          <w:szCs w:val="23"/>
        </w:rPr>
      </w:pPr>
    </w:p>
    <w:p w14:paraId="087CDBFC" w14:textId="77777777" w:rsidR="00985055" w:rsidRPr="00183434" w:rsidRDefault="00985055" w:rsidP="00183434">
      <w:pPr>
        <w:ind w:left="780"/>
        <w:jc w:val="both"/>
        <w:rPr>
          <w:rFonts w:cs="Arial"/>
          <w:sz w:val="23"/>
          <w:szCs w:val="23"/>
        </w:rPr>
      </w:pPr>
      <w:r w:rsidRPr="00183434">
        <w:rPr>
          <w:rFonts w:cs="Arial"/>
          <w:sz w:val="23"/>
          <w:szCs w:val="23"/>
        </w:rPr>
        <w:t>Amounts recognised as due to the Council are not credited to the Comprehensive Income and Expenditure Statement until conditions attached to the grant have been satisfied. Money received by the authority for which conditions have not been satisfied is carried in the Balance Sheet as creditors. Once conditions are satisfied, the grant is credited to the relevant service (attributable revenue grants and contributions) or Taxation and Non-Specific Grant Income (</w:t>
      </w:r>
      <w:proofErr w:type="gramStart"/>
      <w:r w:rsidRPr="00183434">
        <w:rPr>
          <w:rFonts w:cs="Arial"/>
          <w:sz w:val="23"/>
          <w:szCs w:val="23"/>
        </w:rPr>
        <w:t>non ring-fenced</w:t>
      </w:r>
      <w:proofErr w:type="gramEnd"/>
      <w:r w:rsidRPr="00183434">
        <w:rPr>
          <w:rFonts w:cs="Arial"/>
          <w:sz w:val="23"/>
          <w:szCs w:val="23"/>
        </w:rPr>
        <w:t xml:space="preserve"> revenue grants and all capital grants) in the Comprehensive Income and Expenditure Statement.</w:t>
      </w:r>
    </w:p>
    <w:p w14:paraId="391007F9" w14:textId="77777777" w:rsidR="00985055" w:rsidRPr="00183434" w:rsidRDefault="00985055" w:rsidP="00183434">
      <w:pPr>
        <w:ind w:left="780"/>
        <w:jc w:val="both"/>
        <w:rPr>
          <w:rFonts w:cs="Arial"/>
          <w:sz w:val="23"/>
          <w:szCs w:val="23"/>
          <w:highlight w:val="cyan"/>
        </w:rPr>
      </w:pPr>
    </w:p>
    <w:p w14:paraId="370EA27D" w14:textId="77777777" w:rsidR="00985055" w:rsidRPr="00183434" w:rsidRDefault="00985055" w:rsidP="00183434">
      <w:pPr>
        <w:ind w:left="780"/>
        <w:jc w:val="both"/>
        <w:rPr>
          <w:rFonts w:cs="Arial"/>
          <w:sz w:val="23"/>
          <w:szCs w:val="23"/>
        </w:rPr>
      </w:pPr>
      <w:r w:rsidRPr="00183434">
        <w:rPr>
          <w:rFonts w:cs="Arial"/>
          <w:sz w:val="23"/>
          <w:szCs w:val="23"/>
        </w:rPr>
        <w:t xml:space="preserve">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When applied, it is posted to the Capital Adjustment Account. </w:t>
      </w:r>
    </w:p>
    <w:p w14:paraId="477C76BE" w14:textId="77777777" w:rsidR="00985055" w:rsidRPr="00183434" w:rsidRDefault="00985055" w:rsidP="00183434">
      <w:pPr>
        <w:jc w:val="both"/>
        <w:rPr>
          <w:rFonts w:cs="Arial"/>
          <w:sz w:val="23"/>
          <w:szCs w:val="23"/>
        </w:rPr>
      </w:pPr>
    </w:p>
    <w:p w14:paraId="0CE42EFE" w14:textId="77777777" w:rsidR="00985055" w:rsidRPr="00183434" w:rsidRDefault="00985055" w:rsidP="00183434">
      <w:pPr>
        <w:ind w:left="780"/>
        <w:jc w:val="both"/>
        <w:rPr>
          <w:rFonts w:cs="Arial"/>
          <w:sz w:val="23"/>
          <w:szCs w:val="23"/>
          <w:u w:val="single"/>
        </w:rPr>
      </w:pPr>
      <w:r w:rsidRPr="00183434">
        <w:rPr>
          <w:rFonts w:cs="Arial"/>
          <w:sz w:val="23"/>
          <w:szCs w:val="23"/>
          <w:u w:val="single"/>
        </w:rPr>
        <w:t>Community Infrastructure Levy</w:t>
      </w:r>
    </w:p>
    <w:p w14:paraId="28EB8331" w14:textId="77777777" w:rsidR="00985055" w:rsidRPr="00183434" w:rsidRDefault="00985055" w:rsidP="00183434">
      <w:pPr>
        <w:ind w:left="780"/>
        <w:jc w:val="both"/>
        <w:rPr>
          <w:rFonts w:cs="Arial"/>
          <w:sz w:val="23"/>
          <w:szCs w:val="23"/>
        </w:rPr>
      </w:pPr>
    </w:p>
    <w:p w14:paraId="6E14BC20" w14:textId="77777777" w:rsidR="00985055" w:rsidRPr="00183434" w:rsidRDefault="00985055" w:rsidP="00183434">
      <w:pPr>
        <w:ind w:left="780"/>
        <w:jc w:val="both"/>
        <w:rPr>
          <w:rFonts w:cs="Arial"/>
          <w:sz w:val="23"/>
          <w:szCs w:val="23"/>
        </w:rPr>
      </w:pPr>
      <w:r w:rsidRPr="00183434">
        <w:rPr>
          <w:rFonts w:cs="Arial"/>
          <w:sz w:val="23"/>
          <w:szCs w:val="23"/>
        </w:rPr>
        <w:t>The Council has elected to charge a Community Infrastructure Levy (CIL). This levy will be charged on residential and retail developments with appropriate planning consent. The income generated by this levy will be used to fund infrastructure projects to support the development of the area.</w:t>
      </w:r>
    </w:p>
    <w:p w14:paraId="2C8202D9" w14:textId="77777777" w:rsidR="00985055" w:rsidRPr="00183434" w:rsidRDefault="00985055" w:rsidP="00183434">
      <w:pPr>
        <w:ind w:left="780"/>
        <w:jc w:val="both"/>
        <w:rPr>
          <w:rFonts w:cs="Arial"/>
          <w:sz w:val="23"/>
          <w:szCs w:val="23"/>
        </w:rPr>
      </w:pPr>
    </w:p>
    <w:p w14:paraId="12B415FA" w14:textId="77777777" w:rsidR="00985055" w:rsidRPr="00183434" w:rsidRDefault="00985055" w:rsidP="00183434">
      <w:pPr>
        <w:ind w:left="780"/>
        <w:jc w:val="both"/>
        <w:rPr>
          <w:rFonts w:cs="Arial"/>
          <w:sz w:val="23"/>
          <w:szCs w:val="23"/>
        </w:rPr>
      </w:pPr>
      <w:r w:rsidRPr="00183434">
        <w:rPr>
          <w:rFonts w:cs="Arial"/>
          <w:sz w:val="23"/>
          <w:szCs w:val="23"/>
        </w:rPr>
        <w:t>CIL is received without outstanding conditions and so is recognised at the commencement date of the chargeable development in the Comprehensive Income and Expenditure Statement in accordance with the accounting policy for government grants and contributions outlined above. CIL charges will generally be used to fund capital expenditure. However, 15% of the levy will be retained for neighbourhood development.</w:t>
      </w:r>
    </w:p>
    <w:p w14:paraId="21BBD4D0" w14:textId="77777777" w:rsidR="00985055" w:rsidRPr="00183434" w:rsidRDefault="00985055" w:rsidP="00183434">
      <w:pPr>
        <w:jc w:val="both"/>
        <w:rPr>
          <w:rFonts w:cs="Arial"/>
          <w:sz w:val="23"/>
          <w:szCs w:val="23"/>
          <w:highlight w:val="cyan"/>
        </w:rPr>
      </w:pPr>
    </w:p>
    <w:p w14:paraId="51C31718" w14:textId="77777777" w:rsidR="00183434" w:rsidRDefault="00183434">
      <w:pPr>
        <w:rPr>
          <w:rFonts w:cs="Arial"/>
          <w:b/>
          <w:bCs/>
          <w:color w:val="000000" w:themeColor="text1"/>
          <w:sz w:val="23"/>
          <w:szCs w:val="23"/>
        </w:rPr>
      </w:pPr>
      <w:r>
        <w:rPr>
          <w:rFonts w:cs="Arial"/>
          <w:bCs/>
          <w:color w:val="000000" w:themeColor="text1"/>
          <w:sz w:val="23"/>
          <w:szCs w:val="23"/>
        </w:rPr>
        <w:br w:type="page"/>
      </w:r>
    </w:p>
    <w:p w14:paraId="3DE003DB" w14:textId="4C075E8D" w:rsidR="00985055" w:rsidRPr="00183434" w:rsidRDefault="00985055" w:rsidP="00183434">
      <w:pPr>
        <w:pStyle w:val="Heading2"/>
        <w:jc w:val="both"/>
        <w:rPr>
          <w:rFonts w:cs="Arial"/>
          <w:b w:val="0"/>
          <w:bCs/>
          <w:color w:val="000000" w:themeColor="text1"/>
          <w:sz w:val="23"/>
          <w:szCs w:val="23"/>
        </w:rPr>
      </w:pPr>
      <w:r w:rsidRPr="00183434">
        <w:rPr>
          <w:rFonts w:cs="Arial"/>
          <w:bCs/>
          <w:color w:val="000000" w:themeColor="text1"/>
          <w:sz w:val="23"/>
          <w:szCs w:val="23"/>
          <w:u w:val="none"/>
        </w:rPr>
        <w:lastRenderedPageBreak/>
        <w:t>1.20</w:t>
      </w:r>
      <w:r w:rsidRPr="00183434">
        <w:rPr>
          <w:rFonts w:cs="Arial"/>
          <w:bCs/>
          <w:color w:val="000000" w:themeColor="text1"/>
          <w:sz w:val="23"/>
          <w:szCs w:val="23"/>
          <w:u w:val="none"/>
        </w:rPr>
        <w:tab/>
      </w:r>
      <w:r w:rsidRPr="00183434">
        <w:rPr>
          <w:rFonts w:cs="Arial"/>
          <w:bCs/>
          <w:color w:val="000000" w:themeColor="text1"/>
          <w:sz w:val="23"/>
          <w:szCs w:val="23"/>
        </w:rPr>
        <w:t>LEASES</w:t>
      </w:r>
    </w:p>
    <w:p w14:paraId="5600CFA9" w14:textId="77777777" w:rsidR="00985055" w:rsidRPr="00183434" w:rsidRDefault="00985055" w:rsidP="00183434">
      <w:pPr>
        <w:jc w:val="both"/>
        <w:rPr>
          <w:rFonts w:cs="Arial"/>
          <w:sz w:val="23"/>
          <w:szCs w:val="23"/>
        </w:rPr>
      </w:pPr>
    </w:p>
    <w:p w14:paraId="782B5DD5" w14:textId="77777777" w:rsidR="00985055" w:rsidRPr="00183434" w:rsidRDefault="00985055" w:rsidP="00183434">
      <w:pPr>
        <w:ind w:firstLine="720"/>
        <w:jc w:val="both"/>
        <w:rPr>
          <w:rFonts w:cs="Arial"/>
          <w:b/>
          <w:sz w:val="23"/>
          <w:szCs w:val="23"/>
          <w:u w:val="single"/>
        </w:rPr>
      </w:pPr>
      <w:r w:rsidRPr="00183434">
        <w:rPr>
          <w:rFonts w:cs="Arial"/>
          <w:b/>
          <w:sz w:val="23"/>
          <w:szCs w:val="23"/>
          <w:u w:val="single"/>
        </w:rPr>
        <w:t>The Council as a Lessee</w:t>
      </w:r>
    </w:p>
    <w:p w14:paraId="32BBB39C" w14:textId="77777777" w:rsidR="00985055" w:rsidRPr="00183434" w:rsidRDefault="00985055" w:rsidP="00183434">
      <w:pPr>
        <w:ind w:firstLine="720"/>
        <w:jc w:val="both"/>
        <w:rPr>
          <w:rFonts w:cs="Arial"/>
          <w:b/>
          <w:sz w:val="23"/>
          <w:szCs w:val="23"/>
        </w:rPr>
      </w:pPr>
    </w:p>
    <w:p w14:paraId="65E62BA1" w14:textId="77777777" w:rsidR="00985055" w:rsidRPr="00183434" w:rsidRDefault="00985055" w:rsidP="00183434">
      <w:pPr>
        <w:ind w:left="720"/>
        <w:jc w:val="both"/>
        <w:rPr>
          <w:rFonts w:cs="Arial"/>
          <w:sz w:val="23"/>
          <w:szCs w:val="23"/>
        </w:rPr>
      </w:pPr>
      <w:r w:rsidRPr="00183434">
        <w:rPr>
          <w:rFonts w:cs="Arial"/>
          <w:sz w:val="23"/>
          <w:szCs w:val="23"/>
        </w:rPr>
        <w:t>The Council classifies contracts as leases based on their substance. Contracts and parts of contracts, including those described as contracts for services, are analysed to determine whether they convey the right to control the use of an identified asset, through rights both to obtain substantially all the economic benefits or service potential from that asset and to direct its use. The Code expands the scope of IFRS16 Leases to include arrangements with nil consideration, peppercorn or nominal payments.</w:t>
      </w:r>
    </w:p>
    <w:p w14:paraId="4A24B606" w14:textId="77777777" w:rsidR="00985055" w:rsidRPr="00183434" w:rsidRDefault="00985055" w:rsidP="00183434">
      <w:pPr>
        <w:ind w:left="720"/>
        <w:jc w:val="both"/>
        <w:rPr>
          <w:rFonts w:cs="Arial"/>
          <w:sz w:val="23"/>
          <w:szCs w:val="23"/>
        </w:rPr>
      </w:pPr>
    </w:p>
    <w:p w14:paraId="7D67EBA7" w14:textId="77777777" w:rsidR="00985055" w:rsidRPr="00183434" w:rsidRDefault="00985055" w:rsidP="00183434">
      <w:pPr>
        <w:ind w:firstLine="720"/>
        <w:jc w:val="both"/>
        <w:rPr>
          <w:rFonts w:cs="Arial"/>
          <w:b/>
          <w:bCs/>
          <w:sz w:val="23"/>
          <w:szCs w:val="23"/>
          <w:u w:val="single"/>
        </w:rPr>
      </w:pPr>
      <w:r w:rsidRPr="00183434">
        <w:rPr>
          <w:rFonts w:cs="Arial"/>
          <w:b/>
          <w:bCs/>
          <w:sz w:val="23"/>
          <w:szCs w:val="23"/>
          <w:u w:val="single"/>
        </w:rPr>
        <w:t>Initial Measurement</w:t>
      </w:r>
    </w:p>
    <w:p w14:paraId="16C85FF4" w14:textId="77777777" w:rsidR="00985055" w:rsidRPr="00183434" w:rsidRDefault="00985055" w:rsidP="00183434">
      <w:pPr>
        <w:ind w:left="720"/>
        <w:jc w:val="both"/>
        <w:rPr>
          <w:rFonts w:cs="Arial"/>
          <w:sz w:val="23"/>
          <w:szCs w:val="23"/>
        </w:rPr>
      </w:pPr>
      <w:r w:rsidRPr="00183434">
        <w:rPr>
          <w:rFonts w:cs="Arial"/>
          <w:sz w:val="23"/>
          <w:szCs w:val="23"/>
        </w:rPr>
        <w:br/>
        <w:t>Leases are recognised as right-of-use assets with corresponding liability at the date from which the leased asset is available for use (or IFRS16 transition date, if later). The leases are typically for fixed periods more than 1 year but may have extension options.</w:t>
      </w:r>
    </w:p>
    <w:p w14:paraId="2015D7E7" w14:textId="77777777" w:rsidR="00985055" w:rsidRPr="00183434" w:rsidRDefault="00985055" w:rsidP="00183434">
      <w:pPr>
        <w:ind w:left="720"/>
        <w:jc w:val="both"/>
        <w:rPr>
          <w:rFonts w:cs="Arial"/>
          <w:sz w:val="23"/>
          <w:szCs w:val="23"/>
        </w:rPr>
      </w:pPr>
    </w:p>
    <w:p w14:paraId="01087E9B" w14:textId="77777777" w:rsidR="00985055" w:rsidRPr="00183434" w:rsidRDefault="00985055" w:rsidP="00183434">
      <w:pPr>
        <w:ind w:left="720"/>
        <w:jc w:val="both"/>
        <w:rPr>
          <w:rFonts w:cs="Arial"/>
          <w:sz w:val="23"/>
          <w:szCs w:val="23"/>
        </w:rPr>
      </w:pPr>
      <w:r w:rsidRPr="00183434">
        <w:rPr>
          <w:rFonts w:cs="Arial"/>
          <w:sz w:val="23"/>
          <w:szCs w:val="23"/>
        </w:rPr>
        <w:t>The council initially recognises lease liabilities measured at the present value of lease payments, discounting by applying the council’s incremental borrowing rate at whatever the interest rate implicit in the lease cannot be determined. Lease payments included in the measurement of the lease liability include:</w:t>
      </w:r>
    </w:p>
    <w:p w14:paraId="3DEDB0F0" w14:textId="77777777" w:rsidR="00985055" w:rsidRPr="00183434" w:rsidRDefault="00985055" w:rsidP="00183434">
      <w:pPr>
        <w:ind w:left="720"/>
        <w:jc w:val="both"/>
        <w:rPr>
          <w:rFonts w:cs="Arial"/>
          <w:sz w:val="23"/>
          <w:szCs w:val="23"/>
        </w:rPr>
      </w:pPr>
    </w:p>
    <w:p w14:paraId="62A9BC9B" w14:textId="77777777" w:rsidR="00985055" w:rsidRPr="00183434" w:rsidRDefault="00985055" w:rsidP="00183434">
      <w:pPr>
        <w:pStyle w:val="ListParagraph"/>
        <w:numPr>
          <w:ilvl w:val="0"/>
          <w:numId w:val="64"/>
        </w:numPr>
        <w:spacing w:after="0" w:line="240" w:lineRule="auto"/>
        <w:contextualSpacing/>
        <w:jc w:val="both"/>
        <w:rPr>
          <w:rFonts w:ascii="Arial" w:hAnsi="Arial" w:cs="Arial"/>
          <w:sz w:val="23"/>
          <w:szCs w:val="23"/>
        </w:rPr>
      </w:pPr>
      <w:r w:rsidRPr="00183434">
        <w:rPr>
          <w:rFonts w:ascii="Arial" w:hAnsi="Arial" w:cs="Arial"/>
          <w:sz w:val="23"/>
          <w:szCs w:val="23"/>
        </w:rPr>
        <w:t>Fixed payments, including in-substance fixed payments.</w:t>
      </w:r>
    </w:p>
    <w:p w14:paraId="24B56E50" w14:textId="77777777" w:rsidR="00985055" w:rsidRPr="00183434" w:rsidRDefault="00985055" w:rsidP="00183434">
      <w:pPr>
        <w:pStyle w:val="ListParagraph"/>
        <w:numPr>
          <w:ilvl w:val="0"/>
          <w:numId w:val="64"/>
        </w:numPr>
        <w:spacing w:after="0" w:line="240" w:lineRule="auto"/>
        <w:contextualSpacing/>
        <w:jc w:val="both"/>
        <w:rPr>
          <w:rFonts w:ascii="Arial" w:hAnsi="Arial" w:cs="Arial"/>
          <w:sz w:val="23"/>
          <w:szCs w:val="23"/>
        </w:rPr>
      </w:pPr>
      <w:r w:rsidRPr="00183434">
        <w:rPr>
          <w:rFonts w:ascii="Arial" w:hAnsi="Arial" w:cs="Arial"/>
          <w:sz w:val="23"/>
          <w:szCs w:val="23"/>
        </w:rPr>
        <w:t xml:space="preserve">Variable lease payments that depend on an index or rate, initially measured using the prevailing index or rate as at the adoption date. </w:t>
      </w:r>
    </w:p>
    <w:p w14:paraId="5F55AB08" w14:textId="77777777" w:rsidR="00985055" w:rsidRPr="00183434" w:rsidRDefault="00985055" w:rsidP="00183434">
      <w:pPr>
        <w:pStyle w:val="ListParagraph"/>
        <w:numPr>
          <w:ilvl w:val="0"/>
          <w:numId w:val="64"/>
        </w:numPr>
        <w:spacing w:after="0" w:line="240" w:lineRule="auto"/>
        <w:contextualSpacing/>
        <w:jc w:val="both"/>
        <w:rPr>
          <w:rFonts w:ascii="Arial" w:hAnsi="Arial" w:cs="Arial"/>
          <w:sz w:val="23"/>
          <w:szCs w:val="23"/>
        </w:rPr>
      </w:pPr>
      <w:r w:rsidRPr="00183434">
        <w:rPr>
          <w:rFonts w:ascii="Arial" w:hAnsi="Arial" w:cs="Arial"/>
          <w:sz w:val="23"/>
          <w:szCs w:val="23"/>
        </w:rPr>
        <w:t xml:space="preserve">Amounts expected to be payable under a residual value guarantee. </w:t>
      </w:r>
    </w:p>
    <w:p w14:paraId="748F460B" w14:textId="77777777" w:rsidR="00985055" w:rsidRPr="00183434" w:rsidRDefault="00985055" w:rsidP="00183434">
      <w:pPr>
        <w:pStyle w:val="ListParagraph"/>
        <w:numPr>
          <w:ilvl w:val="0"/>
          <w:numId w:val="64"/>
        </w:numPr>
        <w:spacing w:after="0" w:line="240" w:lineRule="auto"/>
        <w:contextualSpacing/>
        <w:jc w:val="both"/>
        <w:rPr>
          <w:rFonts w:ascii="Arial" w:hAnsi="Arial" w:cs="Arial"/>
          <w:sz w:val="23"/>
          <w:szCs w:val="23"/>
        </w:rPr>
      </w:pPr>
      <w:r w:rsidRPr="00183434">
        <w:rPr>
          <w:rFonts w:ascii="Arial" w:hAnsi="Arial" w:cs="Arial"/>
          <w:sz w:val="23"/>
          <w:szCs w:val="23"/>
        </w:rPr>
        <w:t xml:space="preserve">The exercise price under a purchase option that the council is reasonably certain to exercise. </w:t>
      </w:r>
    </w:p>
    <w:p w14:paraId="377F02AB" w14:textId="77777777" w:rsidR="00985055" w:rsidRPr="00183434" w:rsidRDefault="00985055" w:rsidP="00183434">
      <w:pPr>
        <w:pStyle w:val="ListParagraph"/>
        <w:numPr>
          <w:ilvl w:val="0"/>
          <w:numId w:val="64"/>
        </w:numPr>
        <w:spacing w:after="0" w:line="240" w:lineRule="auto"/>
        <w:contextualSpacing/>
        <w:jc w:val="both"/>
        <w:rPr>
          <w:rFonts w:ascii="Arial" w:hAnsi="Arial" w:cs="Arial"/>
          <w:sz w:val="23"/>
          <w:szCs w:val="23"/>
        </w:rPr>
      </w:pPr>
      <w:r w:rsidRPr="00183434">
        <w:rPr>
          <w:rFonts w:ascii="Arial" w:hAnsi="Arial" w:cs="Arial"/>
          <w:sz w:val="23"/>
          <w:szCs w:val="23"/>
        </w:rPr>
        <w:t xml:space="preserve">Lease payments in an optional renewal period if the council is reasonably certain to exercise an extension option. </w:t>
      </w:r>
    </w:p>
    <w:p w14:paraId="1E96188A" w14:textId="77777777" w:rsidR="00985055" w:rsidRPr="00183434" w:rsidRDefault="00985055" w:rsidP="00183434">
      <w:pPr>
        <w:pStyle w:val="ListParagraph"/>
        <w:numPr>
          <w:ilvl w:val="0"/>
          <w:numId w:val="64"/>
        </w:numPr>
        <w:spacing w:after="0" w:line="240" w:lineRule="auto"/>
        <w:contextualSpacing/>
        <w:jc w:val="both"/>
        <w:rPr>
          <w:rFonts w:ascii="Arial" w:hAnsi="Arial" w:cs="Arial"/>
          <w:sz w:val="23"/>
          <w:szCs w:val="23"/>
        </w:rPr>
      </w:pPr>
      <w:r w:rsidRPr="00183434">
        <w:rPr>
          <w:rFonts w:ascii="Arial" w:hAnsi="Arial" w:cs="Arial"/>
          <w:sz w:val="23"/>
          <w:szCs w:val="23"/>
        </w:rPr>
        <w:t>Penalties for early termination of a lease, unless the council is reasonably certain not to terminate early.</w:t>
      </w:r>
    </w:p>
    <w:p w14:paraId="7F38255E" w14:textId="77777777" w:rsidR="00985055" w:rsidRPr="00183434" w:rsidRDefault="00985055" w:rsidP="00183434">
      <w:pPr>
        <w:ind w:left="720"/>
        <w:jc w:val="both"/>
        <w:rPr>
          <w:rFonts w:cs="Arial"/>
          <w:sz w:val="23"/>
          <w:szCs w:val="23"/>
        </w:rPr>
      </w:pPr>
    </w:p>
    <w:p w14:paraId="27FE930B" w14:textId="77777777" w:rsidR="00985055" w:rsidRPr="00183434" w:rsidRDefault="00985055" w:rsidP="00183434">
      <w:pPr>
        <w:ind w:left="720"/>
        <w:jc w:val="both"/>
        <w:rPr>
          <w:rFonts w:cs="Arial"/>
          <w:sz w:val="23"/>
          <w:szCs w:val="23"/>
        </w:rPr>
      </w:pPr>
      <w:r w:rsidRPr="00183434">
        <w:rPr>
          <w:rFonts w:cs="Arial"/>
          <w:sz w:val="23"/>
          <w:szCs w:val="23"/>
        </w:rPr>
        <w:t>The right of use asset is measured at the amount of the lease liability, adjusted for any prepayments made, plus any direct costs incurred to dismantle and remove the underlying asset or restore the underlying asset on the site on which it is located, less any lease incentives received.</w:t>
      </w:r>
    </w:p>
    <w:p w14:paraId="6C5BC544" w14:textId="77777777" w:rsidR="00985055" w:rsidRPr="00183434" w:rsidRDefault="00985055" w:rsidP="00183434">
      <w:pPr>
        <w:ind w:left="720"/>
        <w:jc w:val="both"/>
        <w:rPr>
          <w:rFonts w:cs="Arial"/>
          <w:sz w:val="23"/>
          <w:szCs w:val="23"/>
        </w:rPr>
      </w:pPr>
    </w:p>
    <w:p w14:paraId="17ABAB5B" w14:textId="77777777" w:rsidR="00985055" w:rsidRPr="00183434" w:rsidRDefault="00985055" w:rsidP="00183434">
      <w:pPr>
        <w:ind w:left="720"/>
        <w:jc w:val="both"/>
        <w:rPr>
          <w:rFonts w:cs="Arial"/>
          <w:sz w:val="23"/>
          <w:szCs w:val="23"/>
        </w:rPr>
      </w:pPr>
      <w:r w:rsidRPr="00183434">
        <w:rPr>
          <w:rFonts w:cs="Arial"/>
          <w:sz w:val="23"/>
          <w:szCs w:val="23"/>
        </w:rPr>
        <w:t>However, for peppercorn, nominal payment or nil consideration leases, the asset is measured at fair value.</w:t>
      </w:r>
    </w:p>
    <w:p w14:paraId="2FD97A08" w14:textId="77777777" w:rsidR="00985055" w:rsidRPr="00183434" w:rsidRDefault="00985055" w:rsidP="00183434">
      <w:pPr>
        <w:ind w:left="720"/>
        <w:jc w:val="both"/>
        <w:rPr>
          <w:rFonts w:cs="Arial"/>
          <w:sz w:val="23"/>
          <w:szCs w:val="23"/>
        </w:rPr>
      </w:pPr>
    </w:p>
    <w:p w14:paraId="452B52AF" w14:textId="77777777" w:rsidR="00985055" w:rsidRPr="00183434" w:rsidRDefault="00985055" w:rsidP="00183434">
      <w:pPr>
        <w:ind w:firstLine="720"/>
        <w:jc w:val="both"/>
        <w:rPr>
          <w:rFonts w:cs="Arial"/>
          <w:b/>
          <w:bCs/>
          <w:sz w:val="23"/>
          <w:szCs w:val="23"/>
          <w:u w:val="single"/>
        </w:rPr>
      </w:pPr>
      <w:r w:rsidRPr="00183434">
        <w:rPr>
          <w:rFonts w:cs="Arial"/>
          <w:b/>
          <w:bCs/>
          <w:sz w:val="23"/>
          <w:szCs w:val="23"/>
          <w:u w:val="single"/>
        </w:rPr>
        <w:t>Subsequent Measurement</w:t>
      </w:r>
    </w:p>
    <w:p w14:paraId="2A0FCBE2" w14:textId="77777777" w:rsidR="00985055" w:rsidRPr="00183434" w:rsidRDefault="00985055" w:rsidP="00183434">
      <w:pPr>
        <w:ind w:left="720"/>
        <w:jc w:val="both"/>
        <w:rPr>
          <w:rFonts w:cs="Arial"/>
          <w:sz w:val="23"/>
          <w:szCs w:val="23"/>
        </w:rPr>
      </w:pPr>
      <w:r w:rsidRPr="00183434">
        <w:rPr>
          <w:rFonts w:cs="Arial"/>
          <w:sz w:val="23"/>
          <w:szCs w:val="23"/>
        </w:rPr>
        <w:br/>
        <w:t>The right of use asset is subsequently measured using the fair value model. The council considers the cost model to be a reasonable proxy except for:</w:t>
      </w:r>
    </w:p>
    <w:p w14:paraId="3B0D5B71" w14:textId="77777777" w:rsidR="00985055" w:rsidRPr="00183434" w:rsidRDefault="00985055" w:rsidP="00183434">
      <w:pPr>
        <w:ind w:left="720"/>
        <w:jc w:val="both"/>
        <w:rPr>
          <w:rFonts w:cs="Arial"/>
          <w:sz w:val="23"/>
          <w:szCs w:val="23"/>
        </w:rPr>
      </w:pPr>
    </w:p>
    <w:p w14:paraId="0A79DCB0" w14:textId="77777777" w:rsidR="00985055" w:rsidRPr="00183434" w:rsidRDefault="00985055" w:rsidP="00183434">
      <w:pPr>
        <w:pStyle w:val="ListParagraph"/>
        <w:numPr>
          <w:ilvl w:val="0"/>
          <w:numId w:val="65"/>
        </w:numPr>
        <w:spacing w:after="0" w:line="240" w:lineRule="auto"/>
        <w:contextualSpacing/>
        <w:jc w:val="both"/>
        <w:rPr>
          <w:rFonts w:ascii="Arial" w:hAnsi="Arial" w:cs="Arial"/>
          <w:sz w:val="23"/>
          <w:szCs w:val="23"/>
        </w:rPr>
      </w:pPr>
      <w:r w:rsidRPr="00183434">
        <w:rPr>
          <w:rFonts w:ascii="Arial" w:hAnsi="Arial" w:cs="Arial"/>
          <w:sz w:val="23"/>
          <w:szCs w:val="23"/>
        </w:rPr>
        <w:t>Assets held under non-commercial leases.</w:t>
      </w:r>
    </w:p>
    <w:p w14:paraId="00140F3A" w14:textId="77777777" w:rsidR="00985055" w:rsidRPr="00183434" w:rsidRDefault="00985055" w:rsidP="00183434">
      <w:pPr>
        <w:pStyle w:val="ListParagraph"/>
        <w:numPr>
          <w:ilvl w:val="0"/>
          <w:numId w:val="65"/>
        </w:numPr>
        <w:spacing w:after="0" w:line="240" w:lineRule="auto"/>
        <w:contextualSpacing/>
        <w:jc w:val="both"/>
        <w:rPr>
          <w:rFonts w:ascii="Arial" w:hAnsi="Arial" w:cs="Arial"/>
          <w:sz w:val="23"/>
          <w:szCs w:val="23"/>
        </w:rPr>
      </w:pPr>
      <w:r w:rsidRPr="00183434">
        <w:rPr>
          <w:rFonts w:ascii="Arial" w:hAnsi="Arial" w:cs="Arial"/>
          <w:sz w:val="23"/>
          <w:szCs w:val="23"/>
        </w:rPr>
        <w:t>Leases where rent reviews do not necessarily reflect market conditions.</w:t>
      </w:r>
    </w:p>
    <w:p w14:paraId="1C98DBE5" w14:textId="77777777" w:rsidR="00985055" w:rsidRPr="00183434" w:rsidRDefault="00985055" w:rsidP="00183434">
      <w:pPr>
        <w:pStyle w:val="ListParagraph"/>
        <w:numPr>
          <w:ilvl w:val="0"/>
          <w:numId w:val="65"/>
        </w:numPr>
        <w:spacing w:after="0" w:line="240" w:lineRule="auto"/>
        <w:contextualSpacing/>
        <w:jc w:val="both"/>
        <w:rPr>
          <w:rFonts w:ascii="Arial" w:hAnsi="Arial" w:cs="Arial"/>
          <w:sz w:val="23"/>
          <w:szCs w:val="23"/>
        </w:rPr>
      </w:pPr>
      <w:r w:rsidRPr="00183434">
        <w:rPr>
          <w:rFonts w:ascii="Arial" w:hAnsi="Arial" w:cs="Arial"/>
          <w:sz w:val="23"/>
          <w:szCs w:val="23"/>
        </w:rPr>
        <w:t>Leases with terms of more than 5 years that do not have any provisions for rent reviews.</w:t>
      </w:r>
    </w:p>
    <w:p w14:paraId="2F38A008" w14:textId="77777777" w:rsidR="00985055" w:rsidRPr="00183434" w:rsidRDefault="00985055" w:rsidP="00183434">
      <w:pPr>
        <w:pStyle w:val="ListParagraph"/>
        <w:numPr>
          <w:ilvl w:val="0"/>
          <w:numId w:val="65"/>
        </w:numPr>
        <w:spacing w:after="0" w:line="240" w:lineRule="auto"/>
        <w:contextualSpacing/>
        <w:jc w:val="both"/>
        <w:rPr>
          <w:rFonts w:ascii="Arial" w:hAnsi="Arial" w:cs="Arial"/>
          <w:sz w:val="23"/>
          <w:szCs w:val="23"/>
        </w:rPr>
      </w:pPr>
      <w:r w:rsidRPr="00183434">
        <w:rPr>
          <w:rFonts w:ascii="Arial" w:hAnsi="Arial" w:cs="Arial"/>
          <w:sz w:val="23"/>
          <w:szCs w:val="23"/>
        </w:rPr>
        <w:t>Leases where rent reviews will be at periods of more than 5 years.</w:t>
      </w:r>
    </w:p>
    <w:p w14:paraId="2A603118" w14:textId="77777777" w:rsidR="00985055" w:rsidRPr="00183434" w:rsidRDefault="00985055" w:rsidP="00183434">
      <w:pPr>
        <w:ind w:left="720"/>
        <w:jc w:val="both"/>
        <w:rPr>
          <w:rFonts w:cs="Arial"/>
          <w:sz w:val="23"/>
          <w:szCs w:val="23"/>
        </w:rPr>
      </w:pPr>
    </w:p>
    <w:p w14:paraId="4748258F" w14:textId="77777777" w:rsidR="00985055" w:rsidRPr="00183434" w:rsidRDefault="00985055" w:rsidP="00183434">
      <w:pPr>
        <w:ind w:left="720"/>
        <w:jc w:val="both"/>
        <w:rPr>
          <w:rFonts w:cs="Arial"/>
          <w:sz w:val="23"/>
          <w:szCs w:val="23"/>
        </w:rPr>
      </w:pPr>
      <w:r w:rsidRPr="00183434">
        <w:rPr>
          <w:rFonts w:cs="Arial"/>
          <w:sz w:val="23"/>
          <w:szCs w:val="23"/>
        </w:rPr>
        <w:t xml:space="preserve">For these leases, the asset is carried at the revalued amount. In these financial statements, right of use assets held under index-linked leases have been adjusted for </w:t>
      </w:r>
      <w:r w:rsidRPr="00183434">
        <w:rPr>
          <w:rFonts w:cs="Arial"/>
          <w:sz w:val="23"/>
          <w:szCs w:val="23"/>
        </w:rPr>
        <w:lastRenderedPageBreak/>
        <w:t>changes in the relevant index, while assets held under peppercorn or nil consideration leases have been valued using market prices or rentals for equivalent land and properties.</w:t>
      </w:r>
    </w:p>
    <w:p w14:paraId="35D5AF80" w14:textId="77777777" w:rsidR="00985055" w:rsidRPr="00183434" w:rsidRDefault="00985055" w:rsidP="00183434">
      <w:pPr>
        <w:ind w:left="720"/>
        <w:jc w:val="both"/>
        <w:rPr>
          <w:rFonts w:cs="Arial"/>
          <w:sz w:val="23"/>
          <w:szCs w:val="23"/>
        </w:rPr>
      </w:pPr>
    </w:p>
    <w:p w14:paraId="61BA7F17" w14:textId="77777777" w:rsidR="00985055" w:rsidRPr="00183434" w:rsidRDefault="00985055" w:rsidP="00183434">
      <w:pPr>
        <w:ind w:left="720"/>
        <w:jc w:val="both"/>
        <w:rPr>
          <w:rFonts w:cs="Arial"/>
          <w:sz w:val="23"/>
          <w:szCs w:val="23"/>
        </w:rPr>
      </w:pPr>
      <w:r w:rsidRPr="00183434">
        <w:rPr>
          <w:rFonts w:cs="Arial"/>
          <w:sz w:val="23"/>
          <w:szCs w:val="23"/>
        </w:rPr>
        <w:t>The right of use asset is depreciated straight-line over the shorter period of remaining lease term and useful life of the underlying asset as at the date of adoption.</w:t>
      </w:r>
    </w:p>
    <w:p w14:paraId="4AAA7B08" w14:textId="77777777" w:rsidR="00985055" w:rsidRPr="00183434" w:rsidRDefault="00985055" w:rsidP="00183434">
      <w:pPr>
        <w:ind w:left="720"/>
        <w:jc w:val="both"/>
        <w:rPr>
          <w:rFonts w:cs="Arial"/>
          <w:sz w:val="23"/>
          <w:szCs w:val="23"/>
        </w:rPr>
      </w:pPr>
    </w:p>
    <w:p w14:paraId="093ECE68" w14:textId="77777777" w:rsidR="00985055" w:rsidRPr="00183434" w:rsidRDefault="00985055" w:rsidP="00183434">
      <w:pPr>
        <w:ind w:left="720"/>
        <w:jc w:val="both"/>
        <w:rPr>
          <w:rFonts w:cs="Arial"/>
          <w:sz w:val="23"/>
          <w:szCs w:val="23"/>
        </w:rPr>
      </w:pPr>
      <w:r w:rsidRPr="00183434">
        <w:rPr>
          <w:rFonts w:cs="Arial"/>
          <w:sz w:val="23"/>
          <w:szCs w:val="23"/>
        </w:rPr>
        <w:t>The lease liability is subsequently measured at amortised cost, using the effective interest method. The lease liability is remeasured when:</w:t>
      </w:r>
    </w:p>
    <w:p w14:paraId="49811FDB" w14:textId="77777777" w:rsidR="00985055" w:rsidRPr="00183434" w:rsidRDefault="00985055" w:rsidP="00183434">
      <w:pPr>
        <w:ind w:left="720"/>
        <w:jc w:val="both"/>
        <w:rPr>
          <w:rFonts w:cs="Arial"/>
          <w:sz w:val="23"/>
          <w:szCs w:val="23"/>
        </w:rPr>
      </w:pPr>
    </w:p>
    <w:p w14:paraId="79AFF79C" w14:textId="77777777" w:rsidR="00985055" w:rsidRPr="00183434" w:rsidRDefault="00985055" w:rsidP="00183434">
      <w:pPr>
        <w:pStyle w:val="ListParagraph"/>
        <w:numPr>
          <w:ilvl w:val="0"/>
          <w:numId w:val="66"/>
        </w:numPr>
        <w:spacing w:after="0" w:line="240" w:lineRule="auto"/>
        <w:contextualSpacing/>
        <w:jc w:val="both"/>
        <w:rPr>
          <w:rFonts w:ascii="Arial" w:hAnsi="Arial" w:cs="Arial"/>
          <w:sz w:val="23"/>
          <w:szCs w:val="23"/>
        </w:rPr>
      </w:pPr>
      <w:r w:rsidRPr="00183434">
        <w:rPr>
          <w:rFonts w:ascii="Arial" w:hAnsi="Arial" w:cs="Arial"/>
          <w:sz w:val="23"/>
          <w:szCs w:val="23"/>
        </w:rPr>
        <w:t>There is a change in future lease payments arising from a change in index or rate.</w:t>
      </w:r>
    </w:p>
    <w:p w14:paraId="6EBB20D1" w14:textId="77777777" w:rsidR="00985055" w:rsidRPr="00183434" w:rsidRDefault="00985055" w:rsidP="00183434">
      <w:pPr>
        <w:pStyle w:val="ListParagraph"/>
        <w:numPr>
          <w:ilvl w:val="0"/>
          <w:numId w:val="66"/>
        </w:numPr>
        <w:spacing w:after="0" w:line="240" w:lineRule="auto"/>
        <w:contextualSpacing/>
        <w:jc w:val="both"/>
        <w:rPr>
          <w:rFonts w:ascii="Arial" w:hAnsi="Arial" w:cs="Arial"/>
          <w:sz w:val="23"/>
          <w:szCs w:val="23"/>
        </w:rPr>
      </w:pPr>
      <w:r w:rsidRPr="00183434">
        <w:rPr>
          <w:rFonts w:ascii="Arial" w:hAnsi="Arial" w:cs="Arial"/>
          <w:sz w:val="23"/>
          <w:szCs w:val="23"/>
        </w:rPr>
        <w:t>There is a change in the group’s estimate of the amount expected to be payable under a residual value guarantee.</w:t>
      </w:r>
    </w:p>
    <w:p w14:paraId="1BE6E997" w14:textId="77777777" w:rsidR="00985055" w:rsidRPr="00183434" w:rsidRDefault="00985055" w:rsidP="00183434">
      <w:pPr>
        <w:pStyle w:val="ListParagraph"/>
        <w:numPr>
          <w:ilvl w:val="0"/>
          <w:numId w:val="66"/>
        </w:numPr>
        <w:spacing w:after="0" w:line="240" w:lineRule="auto"/>
        <w:contextualSpacing/>
        <w:jc w:val="both"/>
        <w:rPr>
          <w:rFonts w:ascii="Arial" w:hAnsi="Arial" w:cs="Arial"/>
          <w:sz w:val="23"/>
          <w:szCs w:val="23"/>
        </w:rPr>
      </w:pPr>
      <w:r w:rsidRPr="00183434">
        <w:rPr>
          <w:rFonts w:ascii="Arial" w:hAnsi="Arial" w:cs="Arial"/>
          <w:sz w:val="23"/>
          <w:szCs w:val="23"/>
        </w:rPr>
        <w:t>The council changes its assessment of whether it will exercise a purchase, extension or termination option or</w:t>
      </w:r>
    </w:p>
    <w:p w14:paraId="049BFC7B" w14:textId="77777777" w:rsidR="00985055" w:rsidRPr="00183434" w:rsidRDefault="00985055" w:rsidP="00183434">
      <w:pPr>
        <w:pStyle w:val="ListParagraph"/>
        <w:numPr>
          <w:ilvl w:val="0"/>
          <w:numId w:val="66"/>
        </w:numPr>
        <w:spacing w:after="0" w:line="240" w:lineRule="auto"/>
        <w:contextualSpacing/>
        <w:jc w:val="both"/>
        <w:rPr>
          <w:rFonts w:ascii="Arial" w:hAnsi="Arial" w:cs="Arial"/>
          <w:sz w:val="23"/>
          <w:szCs w:val="23"/>
        </w:rPr>
      </w:pPr>
      <w:r w:rsidRPr="00183434">
        <w:rPr>
          <w:rFonts w:ascii="Arial" w:hAnsi="Arial" w:cs="Arial"/>
          <w:sz w:val="23"/>
          <w:szCs w:val="23"/>
        </w:rPr>
        <w:t>There is a revised in-substance fixed lease payment.</w:t>
      </w:r>
    </w:p>
    <w:p w14:paraId="6F31BE1E" w14:textId="77777777" w:rsidR="00985055" w:rsidRPr="00183434" w:rsidRDefault="00985055" w:rsidP="00183434">
      <w:pPr>
        <w:ind w:left="720"/>
        <w:jc w:val="both"/>
        <w:rPr>
          <w:rFonts w:cs="Arial"/>
          <w:sz w:val="23"/>
          <w:szCs w:val="23"/>
        </w:rPr>
      </w:pPr>
    </w:p>
    <w:p w14:paraId="62577105" w14:textId="77777777" w:rsidR="00985055" w:rsidRPr="00183434" w:rsidRDefault="00985055" w:rsidP="00183434">
      <w:pPr>
        <w:ind w:left="720"/>
        <w:jc w:val="both"/>
        <w:rPr>
          <w:rFonts w:cs="Arial"/>
          <w:sz w:val="23"/>
          <w:szCs w:val="23"/>
        </w:rPr>
      </w:pPr>
      <w:r w:rsidRPr="00183434">
        <w:rPr>
          <w:rFonts w:cs="Arial"/>
          <w:sz w:val="23"/>
          <w:szCs w:val="23"/>
        </w:rPr>
        <w:t>When such a remeasurement occurs, an adjustment is made to the carrying amount of the right of use asset, with any further adjustments required from remeasurement being recorded in the income statement.</w:t>
      </w:r>
    </w:p>
    <w:p w14:paraId="4F97AADA" w14:textId="77777777" w:rsidR="00985055" w:rsidRPr="00183434" w:rsidRDefault="00985055" w:rsidP="00183434">
      <w:pPr>
        <w:ind w:left="720"/>
        <w:jc w:val="both"/>
        <w:rPr>
          <w:rFonts w:cs="Arial"/>
          <w:sz w:val="23"/>
          <w:szCs w:val="23"/>
        </w:rPr>
      </w:pPr>
    </w:p>
    <w:p w14:paraId="08824577" w14:textId="77777777" w:rsidR="00985055" w:rsidRPr="00183434" w:rsidRDefault="00985055" w:rsidP="00183434">
      <w:pPr>
        <w:ind w:left="720"/>
        <w:jc w:val="both"/>
        <w:rPr>
          <w:rFonts w:cs="Arial"/>
          <w:b/>
          <w:bCs/>
          <w:sz w:val="23"/>
          <w:szCs w:val="23"/>
          <w:u w:val="single"/>
        </w:rPr>
      </w:pPr>
      <w:r w:rsidRPr="00183434">
        <w:rPr>
          <w:rFonts w:cs="Arial"/>
          <w:b/>
          <w:bCs/>
          <w:sz w:val="23"/>
          <w:szCs w:val="23"/>
          <w:u w:val="single"/>
        </w:rPr>
        <w:t>Low value and short lease exemption</w:t>
      </w:r>
    </w:p>
    <w:p w14:paraId="08AF98A9" w14:textId="77777777" w:rsidR="00985055" w:rsidRPr="00183434" w:rsidRDefault="00985055" w:rsidP="00183434">
      <w:pPr>
        <w:ind w:left="720"/>
        <w:jc w:val="both"/>
        <w:rPr>
          <w:rFonts w:cs="Arial"/>
          <w:sz w:val="23"/>
          <w:szCs w:val="23"/>
        </w:rPr>
      </w:pPr>
    </w:p>
    <w:p w14:paraId="5380483C" w14:textId="77777777" w:rsidR="00985055" w:rsidRPr="00183434" w:rsidRDefault="00985055" w:rsidP="00183434">
      <w:pPr>
        <w:ind w:left="720"/>
        <w:jc w:val="both"/>
        <w:rPr>
          <w:rFonts w:cs="Arial"/>
          <w:sz w:val="23"/>
          <w:szCs w:val="23"/>
        </w:rPr>
      </w:pPr>
      <w:r w:rsidRPr="00183434">
        <w:rPr>
          <w:rFonts w:cs="Arial"/>
          <w:sz w:val="23"/>
          <w:szCs w:val="23"/>
        </w:rPr>
        <w:t>As permitted by the Code, the council excludes leases:</w:t>
      </w:r>
    </w:p>
    <w:p w14:paraId="7B601284" w14:textId="77777777" w:rsidR="00985055" w:rsidRPr="00183434" w:rsidRDefault="00985055" w:rsidP="00183434">
      <w:pPr>
        <w:ind w:left="720"/>
        <w:jc w:val="both"/>
        <w:rPr>
          <w:rFonts w:cs="Arial"/>
          <w:sz w:val="23"/>
          <w:szCs w:val="23"/>
        </w:rPr>
      </w:pPr>
    </w:p>
    <w:p w14:paraId="2FB3414C" w14:textId="77777777" w:rsidR="00985055" w:rsidRPr="00183434" w:rsidRDefault="00985055" w:rsidP="00183434">
      <w:pPr>
        <w:pStyle w:val="ListParagraph"/>
        <w:numPr>
          <w:ilvl w:val="0"/>
          <w:numId w:val="67"/>
        </w:numPr>
        <w:spacing w:after="0" w:line="240" w:lineRule="auto"/>
        <w:contextualSpacing/>
        <w:jc w:val="both"/>
        <w:rPr>
          <w:rFonts w:ascii="Arial" w:hAnsi="Arial" w:cs="Arial"/>
          <w:sz w:val="23"/>
          <w:szCs w:val="23"/>
        </w:rPr>
      </w:pPr>
      <w:r w:rsidRPr="00183434">
        <w:rPr>
          <w:rFonts w:ascii="Arial" w:hAnsi="Arial" w:cs="Arial"/>
          <w:sz w:val="23"/>
          <w:szCs w:val="23"/>
        </w:rPr>
        <w:t>For low value items that cost less than £0.010m when new, provided they are not highly dependent on or integrated with other items.</w:t>
      </w:r>
    </w:p>
    <w:p w14:paraId="0ADCD774" w14:textId="77777777" w:rsidR="00985055" w:rsidRPr="00183434" w:rsidRDefault="00985055" w:rsidP="00183434">
      <w:pPr>
        <w:pStyle w:val="ListParagraph"/>
        <w:numPr>
          <w:ilvl w:val="0"/>
          <w:numId w:val="67"/>
        </w:numPr>
        <w:spacing w:after="0" w:line="240" w:lineRule="auto"/>
        <w:contextualSpacing/>
        <w:jc w:val="both"/>
        <w:rPr>
          <w:rFonts w:ascii="Arial" w:hAnsi="Arial" w:cs="Arial"/>
          <w:sz w:val="23"/>
          <w:szCs w:val="23"/>
        </w:rPr>
      </w:pPr>
      <w:r w:rsidRPr="00183434">
        <w:rPr>
          <w:rFonts w:ascii="Arial" w:hAnsi="Arial" w:cs="Arial"/>
          <w:sz w:val="23"/>
          <w:szCs w:val="23"/>
        </w:rPr>
        <w:t>With a term shorter than 12 months (comprising the non-cancellable period plus any extension options that the council is reasonably certain to exercise and any termination options that the council is reasonably certain not to exercise).</w:t>
      </w:r>
    </w:p>
    <w:p w14:paraId="5542449F" w14:textId="77777777" w:rsidR="00985055" w:rsidRPr="00183434" w:rsidRDefault="00985055" w:rsidP="00183434">
      <w:pPr>
        <w:ind w:left="720"/>
        <w:jc w:val="both"/>
        <w:rPr>
          <w:rFonts w:cs="Arial"/>
          <w:sz w:val="23"/>
          <w:szCs w:val="23"/>
        </w:rPr>
      </w:pPr>
    </w:p>
    <w:p w14:paraId="6A4F6C8A" w14:textId="77777777" w:rsidR="00985055" w:rsidRPr="00183434" w:rsidRDefault="00985055" w:rsidP="00183434">
      <w:pPr>
        <w:ind w:left="720"/>
        <w:jc w:val="both"/>
        <w:rPr>
          <w:rFonts w:cs="Arial"/>
          <w:b/>
          <w:bCs/>
          <w:sz w:val="23"/>
          <w:szCs w:val="23"/>
          <w:u w:val="single"/>
        </w:rPr>
      </w:pPr>
      <w:r w:rsidRPr="00183434">
        <w:rPr>
          <w:rFonts w:cs="Arial"/>
          <w:b/>
          <w:bCs/>
          <w:sz w:val="23"/>
          <w:szCs w:val="23"/>
          <w:u w:val="single"/>
        </w:rPr>
        <w:t>Lease expenditure</w:t>
      </w:r>
    </w:p>
    <w:p w14:paraId="0403CFBD" w14:textId="77777777" w:rsidR="00985055" w:rsidRPr="00183434" w:rsidRDefault="00985055" w:rsidP="00183434">
      <w:pPr>
        <w:ind w:left="720"/>
        <w:jc w:val="both"/>
        <w:rPr>
          <w:rFonts w:cs="Arial"/>
          <w:sz w:val="23"/>
          <w:szCs w:val="23"/>
        </w:rPr>
      </w:pPr>
    </w:p>
    <w:p w14:paraId="214544D4" w14:textId="77777777" w:rsidR="00985055" w:rsidRPr="00183434" w:rsidRDefault="00985055" w:rsidP="00183434">
      <w:pPr>
        <w:ind w:left="720"/>
        <w:jc w:val="both"/>
        <w:rPr>
          <w:rFonts w:cs="Arial"/>
          <w:sz w:val="23"/>
          <w:szCs w:val="23"/>
        </w:rPr>
      </w:pPr>
      <w:r w:rsidRPr="00183434">
        <w:rPr>
          <w:rFonts w:cs="Arial"/>
          <w:sz w:val="23"/>
          <w:szCs w:val="23"/>
        </w:rPr>
        <w:t>Expenditure in the Comprehensive Income &amp; Expenditure Statement includes interest, straight-line depreciation, any asset impairments and changes in variable lease payments not included in the measurement of the liability during the period in which the triggering event occurred. Lease payments are debited against the liability. Rentals for leases of low-value items or shorter than 12 months are expensed.</w:t>
      </w:r>
    </w:p>
    <w:p w14:paraId="796E3135" w14:textId="77777777" w:rsidR="00985055" w:rsidRPr="00183434" w:rsidRDefault="00985055" w:rsidP="00183434">
      <w:pPr>
        <w:ind w:left="720"/>
        <w:jc w:val="both"/>
        <w:rPr>
          <w:rFonts w:cs="Arial"/>
          <w:sz w:val="23"/>
          <w:szCs w:val="23"/>
        </w:rPr>
      </w:pPr>
    </w:p>
    <w:p w14:paraId="1362C74D" w14:textId="77777777" w:rsidR="00985055" w:rsidRPr="00183434" w:rsidRDefault="00985055" w:rsidP="00183434">
      <w:pPr>
        <w:ind w:left="720"/>
        <w:jc w:val="both"/>
        <w:rPr>
          <w:rFonts w:cs="Arial"/>
          <w:b/>
          <w:sz w:val="23"/>
          <w:szCs w:val="23"/>
        </w:rPr>
      </w:pPr>
      <w:r w:rsidRPr="00183434">
        <w:rPr>
          <w:rFonts w:cs="Arial"/>
          <w:sz w:val="23"/>
          <w:szCs w:val="23"/>
        </w:rPr>
        <w:t>Depreciation and impairments are not charged against council tax, as the cost of non-current assets is fully provided for under separate arrangements for capital financing. Amounts are therefore appropriated to the capital adjustment account from the General Fund balance in the Movement in Reserves Statement.</w:t>
      </w:r>
    </w:p>
    <w:p w14:paraId="4F8490FD" w14:textId="77777777" w:rsidR="00985055" w:rsidRPr="00183434" w:rsidRDefault="00985055" w:rsidP="00183434">
      <w:pPr>
        <w:ind w:firstLine="720"/>
        <w:jc w:val="both"/>
        <w:rPr>
          <w:rFonts w:cs="Arial"/>
          <w:b/>
          <w:sz w:val="23"/>
          <w:szCs w:val="23"/>
        </w:rPr>
      </w:pPr>
    </w:p>
    <w:p w14:paraId="2BBB26B5" w14:textId="77777777" w:rsidR="00985055" w:rsidRPr="00183434" w:rsidRDefault="00985055" w:rsidP="00183434">
      <w:pPr>
        <w:ind w:firstLine="720"/>
        <w:jc w:val="both"/>
        <w:rPr>
          <w:rFonts w:cs="Arial"/>
          <w:b/>
          <w:sz w:val="23"/>
          <w:szCs w:val="23"/>
        </w:rPr>
      </w:pPr>
      <w:r w:rsidRPr="00183434">
        <w:rPr>
          <w:rFonts w:cs="Arial"/>
          <w:b/>
          <w:sz w:val="23"/>
          <w:szCs w:val="23"/>
        </w:rPr>
        <w:t>The Council as a Lessor</w:t>
      </w:r>
    </w:p>
    <w:p w14:paraId="45C8BDB4" w14:textId="77777777" w:rsidR="00985055" w:rsidRPr="00183434" w:rsidRDefault="00985055" w:rsidP="00183434">
      <w:pPr>
        <w:jc w:val="both"/>
        <w:rPr>
          <w:rFonts w:cs="Arial"/>
          <w:b/>
          <w:sz w:val="23"/>
          <w:szCs w:val="23"/>
        </w:rPr>
      </w:pPr>
    </w:p>
    <w:p w14:paraId="412274F6" w14:textId="77777777" w:rsidR="00985055" w:rsidRPr="00183434" w:rsidRDefault="00985055" w:rsidP="00183434">
      <w:pPr>
        <w:pStyle w:val="ListParagraph"/>
        <w:numPr>
          <w:ilvl w:val="0"/>
          <w:numId w:val="56"/>
        </w:numPr>
        <w:spacing w:after="0" w:line="240" w:lineRule="auto"/>
        <w:contextualSpacing/>
        <w:jc w:val="both"/>
        <w:rPr>
          <w:rFonts w:ascii="Arial" w:hAnsi="Arial" w:cs="Arial"/>
          <w:b/>
          <w:sz w:val="23"/>
          <w:szCs w:val="23"/>
        </w:rPr>
      </w:pPr>
      <w:r w:rsidRPr="00183434">
        <w:rPr>
          <w:rFonts w:ascii="Arial" w:hAnsi="Arial" w:cs="Arial"/>
          <w:b/>
          <w:sz w:val="23"/>
          <w:szCs w:val="23"/>
        </w:rPr>
        <w:t>Finance Leases</w:t>
      </w:r>
    </w:p>
    <w:p w14:paraId="61EDE1A6" w14:textId="77777777" w:rsidR="00985055" w:rsidRPr="00183434" w:rsidRDefault="00985055" w:rsidP="00183434">
      <w:pPr>
        <w:ind w:left="720"/>
        <w:jc w:val="both"/>
        <w:rPr>
          <w:rFonts w:cs="Arial"/>
          <w:sz w:val="23"/>
          <w:szCs w:val="23"/>
        </w:rPr>
      </w:pPr>
    </w:p>
    <w:p w14:paraId="7DF686CD" w14:textId="77777777" w:rsidR="00985055" w:rsidRPr="00183434" w:rsidRDefault="00985055" w:rsidP="00183434">
      <w:pPr>
        <w:ind w:left="720"/>
        <w:jc w:val="both"/>
        <w:rPr>
          <w:rFonts w:cs="Arial"/>
          <w:sz w:val="23"/>
          <w:szCs w:val="23"/>
        </w:rPr>
      </w:pPr>
      <w:r w:rsidRPr="00183434">
        <w:rPr>
          <w:rFonts w:cs="Arial"/>
          <w:sz w:val="23"/>
          <w:szCs w:val="23"/>
        </w:rPr>
        <w:t xml:space="preserve">Where the Council grants a finance lease over a property or an item of plant or equipment, the relevant asset is written out of the Balance Sheet as a disposal. At the commencement of the lease, the carrying amount of the asset in the Balance Sheet (whether Property, Plant or Equipment, or Asset Held for Sale) is written off to the Other Operating Expenditure line in the comprehensive Income and Expenditure Statement as part of the gain or loss on disposal. A gain, representing the Council’s net investment </w:t>
      </w:r>
      <w:r w:rsidRPr="00183434">
        <w:rPr>
          <w:rFonts w:cs="Arial"/>
          <w:sz w:val="23"/>
          <w:szCs w:val="23"/>
        </w:rPr>
        <w:lastRenderedPageBreak/>
        <w:t>in the lease, is credited to the same line in the Comprehensive Income and Expenditure Statement as part of the gain or loss on disposal (i.e. netted off against the carrying value of the asset at the time of disposal), matched by a lease (long term debtor) asset in the Balance Sheet.</w:t>
      </w:r>
    </w:p>
    <w:p w14:paraId="759E5D15" w14:textId="77777777" w:rsidR="00985055" w:rsidRPr="00183434" w:rsidRDefault="00985055" w:rsidP="00183434">
      <w:pPr>
        <w:ind w:left="720"/>
        <w:jc w:val="both"/>
        <w:rPr>
          <w:rFonts w:cs="Arial"/>
          <w:sz w:val="23"/>
          <w:szCs w:val="23"/>
        </w:rPr>
      </w:pPr>
    </w:p>
    <w:p w14:paraId="5765DD26" w14:textId="77777777" w:rsidR="00985055" w:rsidRPr="00183434" w:rsidRDefault="00985055" w:rsidP="00183434">
      <w:pPr>
        <w:ind w:left="720"/>
        <w:jc w:val="both"/>
        <w:rPr>
          <w:rFonts w:cs="Arial"/>
          <w:sz w:val="23"/>
          <w:szCs w:val="23"/>
        </w:rPr>
      </w:pPr>
      <w:r w:rsidRPr="00183434">
        <w:rPr>
          <w:rFonts w:cs="Arial"/>
          <w:sz w:val="23"/>
          <w:szCs w:val="23"/>
        </w:rPr>
        <w:t xml:space="preserve">Lease rentals receivable </w:t>
      </w:r>
      <w:proofErr w:type="gramStart"/>
      <w:r w:rsidRPr="00183434">
        <w:rPr>
          <w:rFonts w:cs="Arial"/>
          <w:sz w:val="23"/>
          <w:szCs w:val="23"/>
        </w:rPr>
        <w:t>are</w:t>
      </w:r>
      <w:proofErr w:type="gramEnd"/>
      <w:r w:rsidRPr="00183434">
        <w:rPr>
          <w:rFonts w:cs="Arial"/>
          <w:sz w:val="23"/>
          <w:szCs w:val="23"/>
        </w:rPr>
        <w:t xml:space="preserve"> apportioned between: </w:t>
      </w:r>
    </w:p>
    <w:p w14:paraId="79E1D1A5" w14:textId="77777777" w:rsidR="00985055" w:rsidRPr="00183434" w:rsidRDefault="00985055" w:rsidP="00183434">
      <w:pPr>
        <w:pStyle w:val="ListParagraph"/>
        <w:ind w:left="567"/>
        <w:jc w:val="both"/>
        <w:rPr>
          <w:rFonts w:ascii="Arial" w:hAnsi="Arial" w:cs="Arial"/>
          <w:sz w:val="23"/>
          <w:szCs w:val="23"/>
        </w:rPr>
      </w:pPr>
    </w:p>
    <w:p w14:paraId="673494C9" w14:textId="77777777" w:rsidR="00985055" w:rsidRPr="00183434" w:rsidRDefault="00985055" w:rsidP="00183434">
      <w:pPr>
        <w:pStyle w:val="ListParagraph"/>
        <w:numPr>
          <w:ilvl w:val="0"/>
          <w:numId w:val="57"/>
        </w:numPr>
        <w:contextualSpacing/>
        <w:jc w:val="both"/>
        <w:rPr>
          <w:rFonts w:ascii="Arial" w:hAnsi="Arial" w:cs="Arial"/>
          <w:sz w:val="23"/>
          <w:szCs w:val="23"/>
        </w:rPr>
      </w:pPr>
      <w:r w:rsidRPr="00183434">
        <w:rPr>
          <w:rFonts w:ascii="Arial" w:hAnsi="Arial" w:cs="Arial"/>
          <w:sz w:val="23"/>
          <w:szCs w:val="23"/>
        </w:rPr>
        <w:t>a charge for the acquisition of the interest in the property – applied to write down the lease debtor (together with any premiums received) and</w:t>
      </w:r>
    </w:p>
    <w:p w14:paraId="673CC7F2" w14:textId="77777777" w:rsidR="00985055" w:rsidRPr="00183434" w:rsidRDefault="00985055" w:rsidP="00183434">
      <w:pPr>
        <w:pStyle w:val="ListParagraph"/>
        <w:numPr>
          <w:ilvl w:val="0"/>
          <w:numId w:val="57"/>
        </w:numPr>
        <w:contextualSpacing/>
        <w:jc w:val="both"/>
        <w:rPr>
          <w:rFonts w:ascii="Arial" w:hAnsi="Arial" w:cs="Arial"/>
          <w:sz w:val="23"/>
          <w:szCs w:val="23"/>
        </w:rPr>
      </w:pPr>
      <w:r w:rsidRPr="00183434">
        <w:rPr>
          <w:rFonts w:ascii="Arial" w:hAnsi="Arial" w:cs="Arial"/>
          <w:sz w:val="23"/>
          <w:szCs w:val="23"/>
        </w:rPr>
        <w:t>finance income - credited to the Financing and Investment Income and Expenditure line in the Comprehensive Income and Expenditure Statement.</w:t>
      </w:r>
    </w:p>
    <w:p w14:paraId="21CF8275" w14:textId="77777777" w:rsidR="00985055" w:rsidRPr="00183434" w:rsidRDefault="00985055" w:rsidP="00183434">
      <w:pPr>
        <w:ind w:left="720"/>
        <w:contextualSpacing/>
        <w:jc w:val="both"/>
        <w:rPr>
          <w:rFonts w:cs="Arial"/>
          <w:sz w:val="23"/>
          <w:szCs w:val="23"/>
        </w:rPr>
      </w:pPr>
      <w:r w:rsidRPr="00183434">
        <w:rPr>
          <w:rFonts w:cs="Arial"/>
          <w:sz w:val="23"/>
          <w:szCs w:val="23"/>
        </w:rPr>
        <w:t>The gain credited to the Comprehensive Income and Expenditure Statement on disposal is not permitted by statute to increase the General Fund Balance and is required to be treated as a capital receipt. Where a premium is received, this is posted out of the General Fund Balance to the Capital Receipts Reserve in the Movement in Reserves Statement. Where the amount due in relation to the lease asset is to be settled by the payment of rentals in future financial years, this is posted out of the General Fund Balance to the Deferred Capital Receipts Reserve in the Movement in Reserves Statement. When the future rentals are received, the element for the capital receipt for the disposal of the asset is used to write down the lease debtor. At this point, the deferred capital receipts are transferred to the Capital Receipts Reserve.</w:t>
      </w:r>
    </w:p>
    <w:p w14:paraId="30CC796D" w14:textId="77777777" w:rsidR="00985055" w:rsidRPr="00183434" w:rsidRDefault="00985055" w:rsidP="00183434">
      <w:pPr>
        <w:ind w:left="720"/>
        <w:contextualSpacing/>
        <w:jc w:val="both"/>
        <w:rPr>
          <w:rFonts w:cs="Arial"/>
          <w:sz w:val="23"/>
          <w:szCs w:val="23"/>
        </w:rPr>
      </w:pPr>
    </w:p>
    <w:p w14:paraId="2F5B29E8" w14:textId="77777777" w:rsidR="00985055" w:rsidRPr="00183434" w:rsidRDefault="00985055" w:rsidP="00183434">
      <w:pPr>
        <w:ind w:left="720"/>
        <w:contextualSpacing/>
        <w:jc w:val="both"/>
        <w:rPr>
          <w:rFonts w:cs="Arial"/>
          <w:sz w:val="23"/>
          <w:szCs w:val="23"/>
        </w:rPr>
      </w:pPr>
      <w:r w:rsidRPr="00183434">
        <w:rPr>
          <w:rFonts w:cs="Arial"/>
          <w:sz w:val="23"/>
          <w:szCs w:val="23"/>
        </w:rPr>
        <w:t>The written off value of disposals is not a charge against council tax, as the cost of non-current assets is fully provided for under separate arrangements for capital financing. Amounts are therefore appropriated to the Capital Adjustment Account from the General Fund Balance in the Movement in Reserves Statement.</w:t>
      </w:r>
    </w:p>
    <w:p w14:paraId="576384EB" w14:textId="77777777" w:rsidR="00985055" w:rsidRPr="00183434" w:rsidRDefault="00985055" w:rsidP="00183434">
      <w:pPr>
        <w:pStyle w:val="ListParagraph"/>
        <w:ind w:left="0"/>
        <w:jc w:val="both"/>
        <w:rPr>
          <w:rFonts w:ascii="Arial" w:hAnsi="Arial" w:cs="Arial"/>
          <w:sz w:val="23"/>
          <w:szCs w:val="23"/>
        </w:rPr>
      </w:pPr>
    </w:p>
    <w:p w14:paraId="1FEF0AD5" w14:textId="77777777" w:rsidR="00985055" w:rsidRPr="00183434" w:rsidRDefault="00985055" w:rsidP="00183434">
      <w:pPr>
        <w:pStyle w:val="ListParagraph"/>
        <w:numPr>
          <w:ilvl w:val="0"/>
          <w:numId w:val="56"/>
        </w:numPr>
        <w:spacing w:after="0" w:line="240" w:lineRule="auto"/>
        <w:contextualSpacing/>
        <w:jc w:val="both"/>
        <w:rPr>
          <w:rFonts w:ascii="Arial" w:hAnsi="Arial" w:cs="Arial"/>
          <w:b/>
          <w:bCs/>
          <w:sz w:val="23"/>
          <w:szCs w:val="23"/>
        </w:rPr>
      </w:pPr>
      <w:r w:rsidRPr="00183434">
        <w:rPr>
          <w:rFonts w:ascii="Arial" w:hAnsi="Arial" w:cs="Arial"/>
          <w:b/>
          <w:bCs/>
          <w:sz w:val="23"/>
          <w:szCs w:val="23"/>
        </w:rPr>
        <w:t>Operating Leases</w:t>
      </w:r>
    </w:p>
    <w:p w14:paraId="307F5097" w14:textId="77777777" w:rsidR="00985055" w:rsidRPr="00183434" w:rsidRDefault="00985055" w:rsidP="00183434">
      <w:pPr>
        <w:ind w:left="720"/>
        <w:jc w:val="both"/>
        <w:rPr>
          <w:rFonts w:cs="Arial"/>
          <w:sz w:val="23"/>
          <w:szCs w:val="23"/>
        </w:rPr>
      </w:pPr>
    </w:p>
    <w:p w14:paraId="1F438813" w14:textId="77777777" w:rsidR="00985055" w:rsidRPr="00183434" w:rsidRDefault="00985055" w:rsidP="00183434">
      <w:pPr>
        <w:ind w:left="720"/>
        <w:jc w:val="both"/>
        <w:rPr>
          <w:rFonts w:cs="Arial"/>
          <w:sz w:val="23"/>
          <w:szCs w:val="23"/>
        </w:rPr>
      </w:pPr>
      <w:r w:rsidRPr="00183434">
        <w:rPr>
          <w:rFonts w:cs="Arial"/>
          <w:sz w:val="23"/>
          <w:szCs w:val="23"/>
        </w:rPr>
        <w:t xml:space="preserve">Where the Council grants an operating lease over a property or an item of plant or equipment, the asset is retained in the Balance Sheet. Rental income is credited to the Other Operating Expenditure line in the Comprehensive Income and Expenditure Statement. Credits are made on a straight-line basis over the life of the lease, even if this does not match the pattern of payments (e.g. there is a premium paid at the commencement of the lease). Initial direct costs incurred in negotiating and arranging the lease are added to the carrying amount of the relevant asset and charged as an expense of the lease term on the basis as rental income. </w:t>
      </w:r>
    </w:p>
    <w:p w14:paraId="7CC804DC" w14:textId="77777777" w:rsidR="00985055" w:rsidRPr="00183434" w:rsidRDefault="00985055" w:rsidP="00183434">
      <w:pPr>
        <w:ind w:left="720"/>
        <w:jc w:val="both"/>
        <w:rPr>
          <w:rFonts w:cs="Arial"/>
          <w:sz w:val="23"/>
          <w:szCs w:val="23"/>
        </w:rPr>
      </w:pPr>
    </w:p>
    <w:p w14:paraId="206F6276" w14:textId="77777777" w:rsidR="00985055" w:rsidRPr="00183434" w:rsidRDefault="00985055" w:rsidP="00183434">
      <w:pPr>
        <w:jc w:val="both"/>
        <w:rPr>
          <w:rFonts w:cs="Arial"/>
          <w:sz w:val="23"/>
          <w:szCs w:val="23"/>
        </w:rPr>
      </w:pPr>
      <w:r w:rsidRPr="00183434">
        <w:rPr>
          <w:rFonts w:cs="Arial"/>
          <w:b/>
          <w:bCs/>
          <w:sz w:val="23"/>
          <w:szCs w:val="23"/>
        </w:rPr>
        <w:t>1.21</w:t>
      </w:r>
      <w:r w:rsidRPr="00183434">
        <w:rPr>
          <w:rFonts w:cs="Arial"/>
          <w:sz w:val="23"/>
          <w:szCs w:val="23"/>
        </w:rPr>
        <w:tab/>
      </w:r>
      <w:r w:rsidRPr="00183434">
        <w:rPr>
          <w:rFonts w:cs="Arial"/>
          <w:b/>
          <w:sz w:val="23"/>
          <w:szCs w:val="23"/>
          <w:u w:val="single"/>
        </w:rPr>
        <w:t>FINANCIAL INSTRUMENTS</w:t>
      </w:r>
    </w:p>
    <w:p w14:paraId="6C210A21" w14:textId="77777777" w:rsidR="00985055" w:rsidRPr="00183434" w:rsidRDefault="00985055" w:rsidP="00183434">
      <w:pPr>
        <w:jc w:val="both"/>
        <w:rPr>
          <w:rFonts w:cs="Arial"/>
          <w:b/>
          <w:sz w:val="23"/>
          <w:szCs w:val="23"/>
          <w:u w:val="single"/>
        </w:rPr>
      </w:pPr>
    </w:p>
    <w:p w14:paraId="4A8E75D8" w14:textId="77777777" w:rsidR="00985055" w:rsidRPr="00183434" w:rsidRDefault="00985055" w:rsidP="00183434">
      <w:pPr>
        <w:ind w:left="720"/>
        <w:jc w:val="both"/>
        <w:rPr>
          <w:rFonts w:cs="Arial"/>
          <w:sz w:val="23"/>
          <w:szCs w:val="23"/>
          <w:u w:val="single"/>
        </w:rPr>
      </w:pPr>
      <w:r w:rsidRPr="00183434">
        <w:rPr>
          <w:rFonts w:cs="Arial"/>
          <w:sz w:val="23"/>
          <w:szCs w:val="23"/>
          <w:u w:val="single"/>
        </w:rPr>
        <w:t>Financial Liabilities</w:t>
      </w:r>
    </w:p>
    <w:p w14:paraId="564BC200" w14:textId="77777777" w:rsidR="00985055" w:rsidRPr="00183434" w:rsidRDefault="00985055" w:rsidP="00183434">
      <w:pPr>
        <w:jc w:val="both"/>
        <w:rPr>
          <w:rFonts w:cs="Arial"/>
          <w:b/>
          <w:sz w:val="23"/>
          <w:szCs w:val="23"/>
        </w:rPr>
      </w:pPr>
    </w:p>
    <w:p w14:paraId="335E4E5F" w14:textId="77777777" w:rsidR="00985055" w:rsidRPr="00183434" w:rsidRDefault="00985055" w:rsidP="00183434">
      <w:pPr>
        <w:pStyle w:val="BodyTextIndent3"/>
        <w:jc w:val="both"/>
        <w:rPr>
          <w:rFonts w:cs="Arial"/>
          <w:szCs w:val="23"/>
        </w:rPr>
      </w:pPr>
      <w:r w:rsidRPr="00183434">
        <w:rPr>
          <w:rFonts w:cs="Arial"/>
          <w:szCs w:val="23"/>
        </w:rPr>
        <w:t>Financial liabilities are recognised on the balance sheet when the Council becomes a party to the contractual provisions of a financial instrument. They are initially measured at fair value and carried at their amortised cost. Annual charges to the Financing and Investment Income &amp; Expenditure line in the Comprehensive Income &amp; Expenditure Statement for interest payable are based on the carrying amount of the liability, multiplied by the effective rate of interest for the instrument. This means that the amount in the Balance Sheet is the outstanding principal repayable and interest charged to the Comprehensive Income &amp; Expenditure Statement is the amount payable for the year in the loan agreement.</w:t>
      </w:r>
    </w:p>
    <w:p w14:paraId="43F15A38" w14:textId="77777777" w:rsidR="00985055" w:rsidRPr="00183434" w:rsidRDefault="00985055" w:rsidP="00183434">
      <w:pPr>
        <w:jc w:val="both"/>
        <w:rPr>
          <w:rFonts w:cs="Arial"/>
          <w:sz w:val="23"/>
          <w:szCs w:val="23"/>
        </w:rPr>
      </w:pPr>
    </w:p>
    <w:p w14:paraId="1D1EE9AB" w14:textId="77777777" w:rsidR="00985055" w:rsidRPr="00183434" w:rsidRDefault="00985055" w:rsidP="00183434">
      <w:pPr>
        <w:jc w:val="both"/>
        <w:rPr>
          <w:rFonts w:cs="Arial"/>
          <w:sz w:val="23"/>
          <w:szCs w:val="23"/>
          <w:u w:val="single"/>
        </w:rPr>
      </w:pPr>
      <w:r w:rsidRPr="00183434">
        <w:rPr>
          <w:rFonts w:cs="Arial"/>
          <w:b/>
          <w:sz w:val="23"/>
          <w:szCs w:val="23"/>
        </w:rPr>
        <w:lastRenderedPageBreak/>
        <w:tab/>
      </w:r>
      <w:r w:rsidRPr="00183434">
        <w:rPr>
          <w:rFonts w:cs="Arial"/>
          <w:sz w:val="23"/>
          <w:szCs w:val="23"/>
          <w:u w:val="single"/>
        </w:rPr>
        <w:t>Financial Assets</w:t>
      </w:r>
    </w:p>
    <w:p w14:paraId="45F6F7FF" w14:textId="77777777" w:rsidR="00985055" w:rsidRPr="00183434" w:rsidRDefault="00985055" w:rsidP="00183434">
      <w:pPr>
        <w:jc w:val="both"/>
        <w:rPr>
          <w:rFonts w:cs="Arial"/>
          <w:b/>
          <w:sz w:val="23"/>
          <w:szCs w:val="23"/>
          <w:u w:val="single"/>
        </w:rPr>
      </w:pPr>
    </w:p>
    <w:p w14:paraId="2E94D84A" w14:textId="77777777" w:rsidR="00985055" w:rsidRPr="00183434" w:rsidRDefault="00985055" w:rsidP="00183434">
      <w:pPr>
        <w:pStyle w:val="BodyTextIndent3"/>
        <w:jc w:val="both"/>
        <w:rPr>
          <w:rFonts w:cs="Arial"/>
          <w:szCs w:val="23"/>
        </w:rPr>
      </w:pPr>
      <w:r w:rsidRPr="00183434">
        <w:rPr>
          <w:rFonts w:cs="Arial"/>
          <w:szCs w:val="23"/>
        </w:rPr>
        <w:t>Financial assets are classified based on a classification and measurement approach that reflects the business model for holding the financial assets and their cashflow characteristics. There are three main classes of financial assets measured at:</w:t>
      </w:r>
    </w:p>
    <w:p w14:paraId="1F3A62E1" w14:textId="77777777" w:rsidR="00985055" w:rsidRPr="00183434" w:rsidRDefault="00985055" w:rsidP="00183434">
      <w:pPr>
        <w:ind w:left="720"/>
        <w:jc w:val="both"/>
        <w:rPr>
          <w:rFonts w:cs="Arial"/>
          <w:sz w:val="23"/>
          <w:szCs w:val="23"/>
        </w:rPr>
      </w:pPr>
    </w:p>
    <w:p w14:paraId="1DF01CF8" w14:textId="77777777" w:rsidR="00985055" w:rsidRPr="00183434" w:rsidRDefault="00985055" w:rsidP="00183434">
      <w:pPr>
        <w:numPr>
          <w:ilvl w:val="0"/>
          <w:numId w:val="10"/>
        </w:numPr>
        <w:tabs>
          <w:tab w:val="clear" w:pos="360"/>
          <w:tab w:val="num" w:pos="1080"/>
        </w:tabs>
        <w:ind w:left="1080"/>
        <w:jc w:val="both"/>
        <w:rPr>
          <w:rFonts w:cs="Arial"/>
          <w:sz w:val="23"/>
          <w:szCs w:val="23"/>
        </w:rPr>
      </w:pPr>
      <w:r w:rsidRPr="00183434">
        <w:rPr>
          <w:rFonts w:cs="Arial"/>
          <w:sz w:val="23"/>
          <w:szCs w:val="23"/>
        </w:rPr>
        <w:t>Amortised cost</w:t>
      </w:r>
    </w:p>
    <w:p w14:paraId="1F9417A9" w14:textId="77777777" w:rsidR="00985055" w:rsidRPr="00183434" w:rsidRDefault="00985055" w:rsidP="00183434">
      <w:pPr>
        <w:jc w:val="both"/>
        <w:rPr>
          <w:rFonts w:cs="Arial"/>
          <w:sz w:val="23"/>
          <w:szCs w:val="23"/>
        </w:rPr>
      </w:pPr>
    </w:p>
    <w:p w14:paraId="0F5C5F67" w14:textId="77777777" w:rsidR="00985055" w:rsidRPr="00183434" w:rsidRDefault="00985055" w:rsidP="00183434">
      <w:pPr>
        <w:numPr>
          <w:ilvl w:val="0"/>
          <w:numId w:val="11"/>
        </w:numPr>
        <w:tabs>
          <w:tab w:val="clear" w:pos="360"/>
          <w:tab w:val="num" w:pos="1080"/>
        </w:tabs>
        <w:ind w:left="1080"/>
        <w:jc w:val="both"/>
        <w:rPr>
          <w:rFonts w:cs="Arial"/>
          <w:sz w:val="23"/>
          <w:szCs w:val="23"/>
        </w:rPr>
      </w:pPr>
      <w:r w:rsidRPr="00183434">
        <w:rPr>
          <w:rFonts w:cs="Arial"/>
          <w:sz w:val="23"/>
          <w:szCs w:val="23"/>
        </w:rPr>
        <w:t xml:space="preserve">Fair value through profit or loss (FVPL), and </w:t>
      </w:r>
    </w:p>
    <w:p w14:paraId="65C49DF3" w14:textId="77777777" w:rsidR="00985055" w:rsidRPr="00183434" w:rsidRDefault="00985055" w:rsidP="00183434">
      <w:pPr>
        <w:ind w:left="1080"/>
        <w:jc w:val="both"/>
        <w:rPr>
          <w:rFonts w:cs="Arial"/>
          <w:sz w:val="23"/>
          <w:szCs w:val="23"/>
        </w:rPr>
      </w:pPr>
    </w:p>
    <w:p w14:paraId="42EC6192" w14:textId="77777777" w:rsidR="00985055" w:rsidRPr="00183434" w:rsidRDefault="00985055" w:rsidP="00183434">
      <w:pPr>
        <w:numPr>
          <w:ilvl w:val="0"/>
          <w:numId w:val="11"/>
        </w:numPr>
        <w:tabs>
          <w:tab w:val="clear" w:pos="360"/>
          <w:tab w:val="num" w:pos="1080"/>
        </w:tabs>
        <w:ind w:left="1080"/>
        <w:jc w:val="both"/>
        <w:rPr>
          <w:rFonts w:cs="Arial"/>
          <w:sz w:val="23"/>
          <w:szCs w:val="23"/>
        </w:rPr>
      </w:pPr>
      <w:r w:rsidRPr="00183434">
        <w:rPr>
          <w:rFonts w:cs="Arial"/>
          <w:sz w:val="23"/>
          <w:szCs w:val="23"/>
        </w:rPr>
        <w:t>Fair Value through other comprehensive income (FVOCL)</w:t>
      </w:r>
    </w:p>
    <w:p w14:paraId="01680645" w14:textId="77777777" w:rsidR="00985055" w:rsidRPr="00183434" w:rsidRDefault="00985055" w:rsidP="00183434">
      <w:pPr>
        <w:jc w:val="both"/>
        <w:rPr>
          <w:rFonts w:cs="Arial"/>
          <w:sz w:val="23"/>
          <w:szCs w:val="23"/>
        </w:rPr>
      </w:pPr>
    </w:p>
    <w:p w14:paraId="0EC52B95" w14:textId="77777777" w:rsidR="00985055" w:rsidRPr="00183434" w:rsidRDefault="00985055" w:rsidP="00183434">
      <w:pPr>
        <w:pStyle w:val="ListParagraph"/>
        <w:jc w:val="both"/>
        <w:rPr>
          <w:rFonts w:ascii="Arial" w:hAnsi="Arial" w:cs="Arial"/>
          <w:sz w:val="23"/>
          <w:szCs w:val="23"/>
        </w:rPr>
      </w:pPr>
      <w:r w:rsidRPr="00183434">
        <w:rPr>
          <w:rFonts w:ascii="Arial" w:hAnsi="Arial" w:cs="Arial"/>
          <w:sz w:val="23"/>
          <w:szCs w:val="23"/>
        </w:rPr>
        <w:t xml:space="preserve">The authority’s business model is to hold investments to collect contractual cash flows. Financial assets are therefore classified as amortised </w:t>
      </w:r>
      <w:proofErr w:type="gramStart"/>
      <w:r w:rsidRPr="00183434">
        <w:rPr>
          <w:rFonts w:ascii="Arial" w:hAnsi="Arial" w:cs="Arial"/>
          <w:sz w:val="23"/>
          <w:szCs w:val="23"/>
        </w:rPr>
        <w:t>cost,</w:t>
      </w:r>
      <w:proofErr w:type="gramEnd"/>
      <w:r w:rsidRPr="00183434">
        <w:rPr>
          <w:rFonts w:ascii="Arial" w:hAnsi="Arial" w:cs="Arial"/>
          <w:sz w:val="23"/>
          <w:szCs w:val="23"/>
        </w:rPr>
        <w:t xml:space="preserve"> except for those whose contractual payments are not solely payment of principal and interest (ie where the cash flows do not take the form of a basic debt instrument).</w:t>
      </w:r>
    </w:p>
    <w:p w14:paraId="3D25B48B" w14:textId="77777777" w:rsidR="00985055" w:rsidRPr="00183434" w:rsidRDefault="00985055" w:rsidP="00183434">
      <w:pPr>
        <w:ind w:left="720"/>
        <w:jc w:val="both"/>
        <w:rPr>
          <w:rFonts w:cs="Arial"/>
          <w:sz w:val="23"/>
          <w:szCs w:val="23"/>
        </w:rPr>
      </w:pPr>
      <w:r w:rsidRPr="00183434">
        <w:rPr>
          <w:rFonts w:cs="Arial"/>
          <w:b/>
          <w:sz w:val="23"/>
          <w:szCs w:val="23"/>
        </w:rPr>
        <w:t xml:space="preserve">Financial Assets Measured at Amortised Cost </w:t>
      </w:r>
      <w:r w:rsidRPr="00183434">
        <w:rPr>
          <w:rFonts w:cs="Arial"/>
          <w:sz w:val="23"/>
          <w:szCs w:val="23"/>
        </w:rPr>
        <w:t>are recognised on the Balance Sheet when the authority becomes a party to the contractual provisions of a financial instrument and are initially measured at fair value. They are subsequently measured at their amortised cost. Annual credits to the Financing and Investment Income and Expenditure line in the Comprehensive Income &amp; Expenditure Statement for interest receivable are based on the carrying amount of the asset multiplied by the effective rate of interest for the instrument. This means the amount presented in the Balance Sheet is the outstanding principal receivable (plus accrued interest) and interest credited to the CIES is the amount receivable for the year in the loan agreement.</w:t>
      </w:r>
    </w:p>
    <w:p w14:paraId="6A8C0D6D" w14:textId="77777777" w:rsidR="00985055" w:rsidRPr="00183434" w:rsidRDefault="00985055" w:rsidP="00183434">
      <w:pPr>
        <w:ind w:left="720"/>
        <w:jc w:val="both"/>
        <w:rPr>
          <w:rFonts w:cs="Arial"/>
          <w:b/>
          <w:sz w:val="23"/>
          <w:szCs w:val="23"/>
        </w:rPr>
      </w:pPr>
    </w:p>
    <w:p w14:paraId="19EBF75A" w14:textId="77777777" w:rsidR="00985055" w:rsidRPr="00183434" w:rsidRDefault="00985055" w:rsidP="00183434">
      <w:pPr>
        <w:ind w:left="720"/>
        <w:jc w:val="both"/>
        <w:rPr>
          <w:rFonts w:cs="Arial"/>
          <w:sz w:val="23"/>
          <w:szCs w:val="23"/>
        </w:rPr>
      </w:pPr>
      <w:r w:rsidRPr="00183434">
        <w:rPr>
          <w:rFonts w:cs="Arial"/>
          <w:sz w:val="23"/>
          <w:szCs w:val="23"/>
        </w:rPr>
        <w:t>The authority may also make loans to the voluntary sector at less than market rates (soft loans). When soft loans are made, a loss is recorded in the CIES for the present value of the interest that will be foregone over the life of the instrument, resulting in a lower amortised cost than the outstanding principal.</w:t>
      </w:r>
    </w:p>
    <w:p w14:paraId="0C7CE8A1" w14:textId="77777777" w:rsidR="00985055" w:rsidRPr="00183434" w:rsidRDefault="00985055" w:rsidP="00183434">
      <w:pPr>
        <w:ind w:left="720"/>
        <w:jc w:val="both"/>
        <w:rPr>
          <w:rFonts w:cs="Arial"/>
          <w:sz w:val="23"/>
          <w:szCs w:val="23"/>
          <w:highlight w:val="cyan"/>
        </w:rPr>
      </w:pPr>
    </w:p>
    <w:p w14:paraId="2EF50D0E" w14:textId="77777777" w:rsidR="00985055" w:rsidRPr="00183434" w:rsidRDefault="00985055" w:rsidP="00183434">
      <w:pPr>
        <w:ind w:left="720"/>
        <w:jc w:val="both"/>
        <w:rPr>
          <w:rFonts w:cs="Arial"/>
          <w:sz w:val="23"/>
          <w:szCs w:val="23"/>
        </w:rPr>
      </w:pPr>
      <w:r w:rsidRPr="00183434">
        <w:rPr>
          <w:rFonts w:cs="Arial"/>
          <w:sz w:val="23"/>
          <w:szCs w:val="23"/>
        </w:rPr>
        <w:t>Any gains and losses arising on derecognition of an asset are credited/debited to the Financing and Investment Income line in the Comprehensive Income &amp; Expenditure Statement.</w:t>
      </w:r>
    </w:p>
    <w:p w14:paraId="0A029E24" w14:textId="77777777" w:rsidR="00985055" w:rsidRPr="00183434" w:rsidRDefault="00985055" w:rsidP="00183434">
      <w:pPr>
        <w:jc w:val="both"/>
        <w:rPr>
          <w:rFonts w:cs="Arial"/>
          <w:b/>
          <w:sz w:val="23"/>
          <w:szCs w:val="23"/>
        </w:rPr>
      </w:pPr>
    </w:p>
    <w:p w14:paraId="21798C91" w14:textId="77777777" w:rsidR="00985055" w:rsidRPr="00183434" w:rsidRDefault="00985055" w:rsidP="00183434">
      <w:pPr>
        <w:ind w:left="720"/>
        <w:jc w:val="both"/>
        <w:rPr>
          <w:rFonts w:cs="Arial"/>
          <w:sz w:val="23"/>
          <w:szCs w:val="23"/>
        </w:rPr>
      </w:pPr>
      <w:r w:rsidRPr="00183434">
        <w:rPr>
          <w:rFonts w:cs="Arial"/>
          <w:b/>
          <w:sz w:val="23"/>
          <w:szCs w:val="23"/>
        </w:rPr>
        <w:t xml:space="preserve">Expected Credit Loss Model – </w:t>
      </w:r>
      <w:r w:rsidRPr="00183434">
        <w:rPr>
          <w:rFonts w:cs="Arial"/>
          <w:sz w:val="23"/>
          <w:szCs w:val="23"/>
        </w:rPr>
        <w:t>the authority recognises expected credit losses on all its financial assets held at amortised cost, either on a 12-month or lifetime basis. Only lifetime losses are recognised for trade receivables (debtors) held by the authority.</w:t>
      </w:r>
    </w:p>
    <w:p w14:paraId="4F126713" w14:textId="77777777" w:rsidR="00985055" w:rsidRPr="00183434" w:rsidRDefault="00985055" w:rsidP="00183434">
      <w:pPr>
        <w:ind w:left="720"/>
        <w:jc w:val="both"/>
        <w:rPr>
          <w:rFonts w:cs="Arial"/>
          <w:b/>
          <w:sz w:val="23"/>
          <w:szCs w:val="23"/>
        </w:rPr>
      </w:pPr>
    </w:p>
    <w:p w14:paraId="100919EC" w14:textId="77777777" w:rsidR="00985055" w:rsidRPr="00183434" w:rsidRDefault="00985055" w:rsidP="00183434">
      <w:pPr>
        <w:ind w:left="720"/>
        <w:jc w:val="both"/>
        <w:rPr>
          <w:rFonts w:cs="Arial"/>
          <w:sz w:val="23"/>
          <w:szCs w:val="23"/>
        </w:rPr>
      </w:pPr>
      <w:r w:rsidRPr="00183434">
        <w:rPr>
          <w:rFonts w:cs="Arial"/>
          <w:sz w:val="23"/>
          <w:szCs w:val="23"/>
        </w:rPr>
        <w:t>Impairment losses are calculated to reflect the expectation that the future cash flows might not take place because the borrower could default on their obligations. Credit risk plays a crucial part in assessing losses. Where risk has increased significantly since an instrument was initially recognised, losses are assessed on a lifetime basis. Where risk has not increased significantly or remains low, losses are assessed based on 12-month expected losses.</w:t>
      </w:r>
    </w:p>
    <w:p w14:paraId="48343A4A" w14:textId="77777777" w:rsidR="00985055" w:rsidRPr="00183434" w:rsidRDefault="00985055" w:rsidP="00183434">
      <w:pPr>
        <w:ind w:left="720"/>
        <w:jc w:val="both"/>
        <w:rPr>
          <w:rFonts w:cs="Arial"/>
          <w:sz w:val="23"/>
          <w:szCs w:val="23"/>
        </w:rPr>
      </w:pPr>
    </w:p>
    <w:p w14:paraId="16AD14A2" w14:textId="77777777" w:rsidR="00985055" w:rsidRPr="00183434" w:rsidRDefault="00985055" w:rsidP="00183434">
      <w:pPr>
        <w:ind w:left="720"/>
        <w:jc w:val="both"/>
        <w:rPr>
          <w:rFonts w:cs="Arial"/>
          <w:sz w:val="23"/>
          <w:szCs w:val="23"/>
        </w:rPr>
      </w:pPr>
      <w:r w:rsidRPr="00183434">
        <w:rPr>
          <w:rFonts w:cs="Arial"/>
          <w:b/>
          <w:sz w:val="23"/>
          <w:szCs w:val="23"/>
        </w:rPr>
        <w:t xml:space="preserve">Financial Assets Measured at Fair Value through Profit or Loss </w:t>
      </w:r>
      <w:r w:rsidRPr="00183434">
        <w:rPr>
          <w:rFonts w:cs="Arial"/>
          <w:sz w:val="23"/>
          <w:szCs w:val="23"/>
        </w:rPr>
        <w:t>are recognised on the Balance Sheet when the authority becomes a party to the contractual provisions of a financial instrument and are initially measured and carried at fair value. Fair value gains and losses are recognised as they arrive in the Surplus or Deficit on the Provision of Services.</w:t>
      </w:r>
    </w:p>
    <w:p w14:paraId="08FD45F9" w14:textId="77777777" w:rsidR="00985055" w:rsidRPr="00183434" w:rsidRDefault="00985055" w:rsidP="00183434">
      <w:pPr>
        <w:ind w:left="720"/>
        <w:jc w:val="both"/>
        <w:rPr>
          <w:rFonts w:cs="Arial"/>
          <w:sz w:val="23"/>
          <w:szCs w:val="23"/>
        </w:rPr>
      </w:pPr>
    </w:p>
    <w:p w14:paraId="777220FE" w14:textId="77777777" w:rsidR="00985055" w:rsidRPr="00183434" w:rsidRDefault="00985055" w:rsidP="00183434">
      <w:pPr>
        <w:ind w:left="720"/>
        <w:jc w:val="both"/>
        <w:rPr>
          <w:rFonts w:cs="Arial"/>
          <w:sz w:val="23"/>
          <w:szCs w:val="23"/>
        </w:rPr>
      </w:pPr>
      <w:r w:rsidRPr="00183434">
        <w:rPr>
          <w:rFonts w:cs="Arial"/>
          <w:sz w:val="23"/>
          <w:szCs w:val="23"/>
        </w:rPr>
        <w:t>The fair value measurements of the financial assets are based on the following techniques:</w:t>
      </w:r>
    </w:p>
    <w:p w14:paraId="7068B1AC" w14:textId="77777777" w:rsidR="00985055" w:rsidRPr="00183434" w:rsidRDefault="00985055" w:rsidP="00183434">
      <w:pPr>
        <w:ind w:left="720"/>
        <w:jc w:val="both"/>
        <w:rPr>
          <w:rFonts w:cs="Arial"/>
          <w:sz w:val="23"/>
          <w:szCs w:val="23"/>
        </w:rPr>
      </w:pPr>
    </w:p>
    <w:p w14:paraId="7B7507FF" w14:textId="77777777" w:rsidR="00985055" w:rsidRPr="00183434" w:rsidRDefault="00985055" w:rsidP="00183434">
      <w:pPr>
        <w:numPr>
          <w:ilvl w:val="0"/>
          <w:numId w:val="12"/>
        </w:numPr>
        <w:tabs>
          <w:tab w:val="clear" w:pos="360"/>
          <w:tab w:val="num" w:pos="1080"/>
        </w:tabs>
        <w:ind w:left="1080"/>
        <w:jc w:val="both"/>
        <w:rPr>
          <w:rFonts w:cs="Arial"/>
          <w:sz w:val="23"/>
          <w:szCs w:val="23"/>
        </w:rPr>
      </w:pPr>
      <w:r w:rsidRPr="00183434">
        <w:rPr>
          <w:rFonts w:cs="Arial"/>
          <w:sz w:val="23"/>
          <w:szCs w:val="23"/>
        </w:rPr>
        <w:t>Instruments with quoted market prices – market price</w:t>
      </w:r>
    </w:p>
    <w:p w14:paraId="53C0ACDC" w14:textId="77777777" w:rsidR="00985055" w:rsidRPr="00183434" w:rsidRDefault="00985055" w:rsidP="00183434">
      <w:pPr>
        <w:numPr>
          <w:ilvl w:val="0"/>
          <w:numId w:val="12"/>
        </w:numPr>
        <w:tabs>
          <w:tab w:val="clear" w:pos="360"/>
          <w:tab w:val="num" w:pos="1080"/>
        </w:tabs>
        <w:ind w:left="1080"/>
        <w:jc w:val="both"/>
        <w:rPr>
          <w:rFonts w:cs="Arial"/>
          <w:sz w:val="23"/>
          <w:szCs w:val="23"/>
        </w:rPr>
      </w:pPr>
      <w:r w:rsidRPr="00183434">
        <w:rPr>
          <w:rFonts w:cs="Arial"/>
          <w:sz w:val="23"/>
          <w:szCs w:val="23"/>
        </w:rPr>
        <w:t>Other instruments with fixed and determinable payments – discounted cash flow analysis</w:t>
      </w:r>
    </w:p>
    <w:p w14:paraId="21B44B11" w14:textId="77777777" w:rsidR="00985055" w:rsidRPr="00183434" w:rsidRDefault="00985055" w:rsidP="00183434">
      <w:pPr>
        <w:jc w:val="both"/>
        <w:rPr>
          <w:rFonts w:cs="Arial"/>
          <w:sz w:val="23"/>
          <w:szCs w:val="23"/>
        </w:rPr>
      </w:pPr>
    </w:p>
    <w:p w14:paraId="1CB0882B" w14:textId="77777777" w:rsidR="00985055" w:rsidRPr="00183434" w:rsidRDefault="00985055" w:rsidP="00183434">
      <w:pPr>
        <w:ind w:left="720"/>
        <w:jc w:val="both"/>
        <w:rPr>
          <w:rFonts w:cs="Arial"/>
          <w:sz w:val="23"/>
          <w:szCs w:val="23"/>
        </w:rPr>
      </w:pPr>
      <w:r w:rsidRPr="00183434">
        <w:rPr>
          <w:rFonts w:cs="Arial"/>
          <w:sz w:val="23"/>
          <w:szCs w:val="23"/>
        </w:rPr>
        <w:t>The inputs to the measurement techniques are categorised in accordance with the following three levels:</w:t>
      </w:r>
    </w:p>
    <w:p w14:paraId="3B64ADEB" w14:textId="77777777" w:rsidR="00985055" w:rsidRPr="00183434" w:rsidRDefault="00985055" w:rsidP="00183434">
      <w:pPr>
        <w:ind w:left="1440"/>
        <w:jc w:val="both"/>
        <w:rPr>
          <w:rFonts w:cs="Arial"/>
          <w:sz w:val="23"/>
          <w:szCs w:val="23"/>
        </w:rPr>
      </w:pPr>
    </w:p>
    <w:p w14:paraId="2070D11D" w14:textId="77777777" w:rsidR="00985055" w:rsidRPr="00183434" w:rsidRDefault="00985055" w:rsidP="00183434">
      <w:pPr>
        <w:numPr>
          <w:ilvl w:val="0"/>
          <w:numId w:val="12"/>
        </w:numPr>
        <w:tabs>
          <w:tab w:val="clear" w:pos="360"/>
          <w:tab w:val="num" w:pos="1080"/>
        </w:tabs>
        <w:ind w:left="1080"/>
        <w:jc w:val="both"/>
        <w:rPr>
          <w:rFonts w:cs="Arial"/>
          <w:sz w:val="23"/>
          <w:szCs w:val="23"/>
        </w:rPr>
      </w:pPr>
      <w:r w:rsidRPr="00183434">
        <w:rPr>
          <w:rFonts w:cs="Arial"/>
          <w:sz w:val="23"/>
          <w:szCs w:val="23"/>
        </w:rPr>
        <w:t>Level 1 inputs – quoted prices (unadjusted) in active markets for identical assets that the authority can access at the measurement date</w:t>
      </w:r>
    </w:p>
    <w:p w14:paraId="2312F69E" w14:textId="77777777" w:rsidR="00985055" w:rsidRPr="00183434" w:rsidRDefault="00985055" w:rsidP="00183434">
      <w:pPr>
        <w:numPr>
          <w:ilvl w:val="0"/>
          <w:numId w:val="12"/>
        </w:numPr>
        <w:tabs>
          <w:tab w:val="clear" w:pos="360"/>
          <w:tab w:val="num" w:pos="1080"/>
        </w:tabs>
        <w:ind w:left="1080"/>
        <w:jc w:val="both"/>
        <w:rPr>
          <w:rFonts w:cs="Arial"/>
          <w:sz w:val="23"/>
          <w:szCs w:val="23"/>
        </w:rPr>
      </w:pPr>
      <w:r w:rsidRPr="00183434">
        <w:rPr>
          <w:rFonts w:cs="Arial"/>
          <w:sz w:val="23"/>
          <w:szCs w:val="23"/>
        </w:rPr>
        <w:t>Level 2 inputs – inputs other than quoted prices included within Level 1 that are observable for the asset, either directly or indirectly</w:t>
      </w:r>
    </w:p>
    <w:p w14:paraId="298BBDE7" w14:textId="77777777" w:rsidR="00985055" w:rsidRPr="00183434" w:rsidRDefault="00985055" w:rsidP="00183434">
      <w:pPr>
        <w:numPr>
          <w:ilvl w:val="0"/>
          <w:numId w:val="12"/>
        </w:numPr>
        <w:tabs>
          <w:tab w:val="clear" w:pos="360"/>
          <w:tab w:val="num" w:pos="1080"/>
        </w:tabs>
        <w:ind w:left="1080"/>
        <w:jc w:val="both"/>
        <w:rPr>
          <w:rFonts w:cs="Arial"/>
          <w:sz w:val="23"/>
          <w:szCs w:val="23"/>
        </w:rPr>
      </w:pPr>
      <w:r w:rsidRPr="00183434">
        <w:rPr>
          <w:rFonts w:cs="Arial"/>
          <w:sz w:val="23"/>
          <w:szCs w:val="23"/>
        </w:rPr>
        <w:t>Level 3 inputs – unobservable inputs for the asset</w:t>
      </w:r>
    </w:p>
    <w:p w14:paraId="71010ABA" w14:textId="77777777" w:rsidR="00985055" w:rsidRPr="00183434" w:rsidRDefault="00985055" w:rsidP="00183434">
      <w:pPr>
        <w:jc w:val="both"/>
        <w:rPr>
          <w:rFonts w:cs="Arial"/>
          <w:sz w:val="23"/>
          <w:szCs w:val="23"/>
        </w:rPr>
      </w:pPr>
    </w:p>
    <w:p w14:paraId="50056A2B" w14:textId="77777777" w:rsidR="00985055" w:rsidRPr="00183434" w:rsidRDefault="00985055" w:rsidP="00183434">
      <w:pPr>
        <w:ind w:left="720"/>
        <w:jc w:val="both"/>
        <w:rPr>
          <w:rFonts w:cs="Arial"/>
          <w:sz w:val="23"/>
          <w:szCs w:val="23"/>
        </w:rPr>
      </w:pPr>
      <w:r w:rsidRPr="00183434">
        <w:rPr>
          <w:rFonts w:cs="Arial"/>
          <w:sz w:val="23"/>
          <w:szCs w:val="23"/>
        </w:rPr>
        <w:t>Any gains and losses arising on derecognition of an asset are credited or debited to the Financing and Investment Income line in the Comprehensive Income &amp; Expenditure Statement.</w:t>
      </w:r>
    </w:p>
    <w:p w14:paraId="7AC6E356" w14:textId="77777777" w:rsidR="00985055" w:rsidRPr="00183434" w:rsidRDefault="00985055" w:rsidP="00183434">
      <w:pPr>
        <w:jc w:val="both"/>
        <w:rPr>
          <w:rFonts w:cs="Arial"/>
          <w:sz w:val="23"/>
          <w:szCs w:val="23"/>
        </w:rPr>
      </w:pPr>
    </w:p>
    <w:p w14:paraId="3B0C53C7" w14:textId="77777777" w:rsidR="00985055" w:rsidRPr="00183434" w:rsidRDefault="00985055" w:rsidP="00183434">
      <w:pPr>
        <w:jc w:val="both"/>
        <w:rPr>
          <w:rFonts w:cs="Arial"/>
          <w:b/>
          <w:sz w:val="23"/>
          <w:szCs w:val="23"/>
          <w:u w:val="single"/>
        </w:rPr>
      </w:pPr>
      <w:r w:rsidRPr="00183434">
        <w:rPr>
          <w:rFonts w:cs="Arial"/>
          <w:b/>
          <w:sz w:val="23"/>
          <w:szCs w:val="23"/>
        </w:rPr>
        <w:t>1.22</w:t>
      </w:r>
      <w:r w:rsidRPr="00183434">
        <w:rPr>
          <w:rFonts w:cs="Arial"/>
          <w:b/>
          <w:sz w:val="23"/>
          <w:szCs w:val="23"/>
        </w:rPr>
        <w:tab/>
      </w:r>
      <w:r w:rsidRPr="00183434">
        <w:rPr>
          <w:rFonts w:cs="Arial"/>
          <w:b/>
          <w:sz w:val="23"/>
          <w:szCs w:val="23"/>
          <w:u w:val="single"/>
        </w:rPr>
        <w:t>INTEREST IN COMPANIES AND OTHER ENTITIES</w:t>
      </w:r>
    </w:p>
    <w:p w14:paraId="62F6C4BE" w14:textId="77777777" w:rsidR="00985055" w:rsidRPr="00183434" w:rsidRDefault="00985055" w:rsidP="00183434">
      <w:pPr>
        <w:jc w:val="both"/>
        <w:rPr>
          <w:rFonts w:cs="Arial"/>
          <w:b/>
          <w:sz w:val="23"/>
          <w:szCs w:val="23"/>
          <w:u w:val="single"/>
        </w:rPr>
      </w:pPr>
    </w:p>
    <w:p w14:paraId="2FE6A9DB" w14:textId="77777777" w:rsidR="00985055" w:rsidRPr="00183434" w:rsidRDefault="00985055" w:rsidP="00183434">
      <w:pPr>
        <w:ind w:left="720"/>
        <w:jc w:val="both"/>
        <w:rPr>
          <w:rFonts w:cs="Arial"/>
          <w:sz w:val="23"/>
          <w:szCs w:val="23"/>
        </w:rPr>
      </w:pPr>
      <w:r w:rsidRPr="00183434">
        <w:rPr>
          <w:rFonts w:cs="Arial"/>
          <w:sz w:val="23"/>
          <w:szCs w:val="23"/>
        </w:rPr>
        <w:t>If the Council has material interests in companies and other entities that have the nature of subsidiaries, associates and joint ventures, it is required to prepare group accounts.</w:t>
      </w:r>
    </w:p>
    <w:p w14:paraId="3F0F0190" w14:textId="77777777" w:rsidR="00985055" w:rsidRPr="00183434" w:rsidRDefault="00985055" w:rsidP="00183434">
      <w:pPr>
        <w:ind w:left="720"/>
        <w:jc w:val="both"/>
        <w:rPr>
          <w:rFonts w:cs="Arial"/>
          <w:sz w:val="23"/>
          <w:szCs w:val="23"/>
        </w:rPr>
      </w:pPr>
    </w:p>
    <w:p w14:paraId="3DBBC455" w14:textId="77777777" w:rsidR="00985055" w:rsidRPr="00183434" w:rsidRDefault="00985055" w:rsidP="00183434">
      <w:pPr>
        <w:jc w:val="both"/>
        <w:rPr>
          <w:rFonts w:cs="Arial"/>
          <w:sz w:val="23"/>
          <w:szCs w:val="23"/>
        </w:rPr>
      </w:pPr>
      <w:r w:rsidRPr="00183434">
        <w:rPr>
          <w:rFonts w:cs="Arial"/>
          <w:b/>
          <w:sz w:val="23"/>
          <w:szCs w:val="23"/>
        </w:rPr>
        <w:tab/>
      </w:r>
      <w:r w:rsidRPr="00183434">
        <w:rPr>
          <w:rFonts w:cs="Arial"/>
          <w:sz w:val="23"/>
          <w:szCs w:val="23"/>
        </w:rPr>
        <w:t>There were no group accounts identified for 2025/25.</w:t>
      </w:r>
    </w:p>
    <w:p w14:paraId="6767D49B" w14:textId="77777777" w:rsidR="00985055" w:rsidRPr="00183434" w:rsidRDefault="00985055" w:rsidP="00183434">
      <w:pPr>
        <w:jc w:val="both"/>
        <w:rPr>
          <w:rFonts w:cs="Arial"/>
          <w:sz w:val="23"/>
          <w:szCs w:val="23"/>
        </w:rPr>
      </w:pPr>
    </w:p>
    <w:p w14:paraId="15543573" w14:textId="77777777" w:rsidR="00985055" w:rsidRPr="00183434" w:rsidRDefault="00985055" w:rsidP="00183434">
      <w:pPr>
        <w:numPr>
          <w:ilvl w:val="1"/>
          <w:numId w:val="38"/>
        </w:numPr>
        <w:jc w:val="both"/>
        <w:rPr>
          <w:rFonts w:cs="Arial"/>
          <w:b/>
          <w:sz w:val="23"/>
          <w:szCs w:val="23"/>
          <w:u w:val="single"/>
        </w:rPr>
      </w:pPr>
      <w:r w:rsidRPr="00183434">
        <w:rPr>
          <w:rFonts w:cs="Arial"/>
          <w:b/>
          <w:sz w:val="23"/>
          <w:szCs w:val="23"/>
        </w:rPr>
        <w:t xml:space="preserve"> </w:t>
      </w:r>
      <w:r w:rsidRPr="00183434">
        <w:rPr>
          <w:rFonts w:cs="Arial"/>
          <w:b/>
          <w:sz w:val="23"/>
          <w:szCs w:val="23"/>
        </w:rPr>
        <w:tab/>
      </w:r>
      <w:r w:rsidRPr="00183434">
        <w:rPr>
          <w:rFonts w:cs="Arial"/>
          <w:b/>
          <w:sz w:val="23"/>
          <w:szCs w:val="23"/>
          <w:u w:val="single"/>
        </w:rPr>
        <w:t>JOINTLY CONTROLLED OPERATIONS</w:t>
      </w:r>
    </w:p>
    <w:p w14:paraId="5A9328E9" w14:textId="77777777" w:rsidR="00985055" w:rsidRPr="00183434" w:rsidRDefault="00985055" w:rsidP="00183434">
      <w:pPr>
        <w:jc w:val="both"/>
        <w:rPr>
          <w:rFonts w:cs="Arial"/>
          <w:sz w:val="23"/>
          <w:szCs w:val="23"/>
        </w:rPr>
      </w:pPr>
    </w:p>
    <w:p w14:paraId="5A954BF5" w14:textId="77777777" w:rsidR="00985055" w:rsidRPr="00183434" w:rsidRDefault="00985055" w:rsidP="00183434">
      <w:pPr>
        <w:ind w:left="709"/>
        <w:jc w:val="both"/>
        <w:rPr>
          <w:rFonts w:cs="Arial"/>
          <w:sz w:val="23"/>
          <w:szCs w:val="23"/>
        </w:rPr>
      </w:pPr>
      <w:r w:rsidRPr="00183434">
        <w:rPr>
          <w:rFonts w:cs="Arial"/>
          <w:sz w:val="23"/>
          <w:szCs w:val="23"/>
        </w:rPr>
        <w:t xml:space="preserve">Jointly controlled operations are activities undertaken by the Authority in conjunction with other organisations which involve the use of assets and resources of one or more of the parties, but which does not establish a separate entity. </w:t>
      </w:r>
    </w:p>
    <w:p w14:paraId="2C8FE3A0" w14:textId="77777777" w:rsidR="00985055" w:rsidRPr="00183434" w:rsidRDefault="00985055" w:rsidP="00183434">
      <w:pPr>
        <w:jc w:val="both"/>
        <w:rPr>
          <w:rFonts w:cs="Arial"/>
          <w:sz w:val="23"/>
          <w:szCs w:val="23"/>
        </w:rPr>
      </w:pPr>
    </w:p>
    <w:p w14:paraId="271C4100" w14:textId="77777777" w:rsidR="00985055" w:rsidRPr="00183434" w:rsidRDefault="00985055" w:rsidP="00183434">
      <w:pPr>
        <w:ind w:left="709" w:hanging="709"/>
        <w:jc w:val="both"/>
        <w:rPr>
          <w:rFonts w:cs="Arial"/>
          <w:sz w:val="23"/>
          <w:szCs w:val="23"/>
        </w:rPr>
      </w:pPr>
      <w:r w:rsidRPr="00183434">
        <w:rPr>
          <w:rFonts w:cs="Arial"/>
          <w:sz w:val="23"/>
          <w:szCs w:val="23"/>
        </w:rPr>
        <w:tab/>
        <w:t xml:space="preserve">The Council has a joint operation with Bolsover District Council and </w:t>
      </w:r>
      <w:proofErr w:type="gramStart"/>
      <w:r w:rsidRPr="00183434">
        <w:rPr>
          <w:rFonts w:cs="Arial"/>
          <w:sz w:val="23"/>
          <w:szCs w:val="23"/>
        </w:rPr>
        <w:t>North East</w:t>
      </w:r>
      <w:proofErr w:type="gramEnd"/>
      <w:r w:rsidRPr="00183434">
        <w:rPr>
          <w:rFonts w:cs="Arial"/>
          <w:sz w:val="23"/>
          <w:szCs w:val="23"/>
        </w:rPr>
        <w:t xml:space="preserve"> Derbyshire District Council who together operate the Chesterfield &amp; District Joint Crematorium. The Council recognises on its balance sheet, its share of the assets that it controls and liabilities incurred and its share of the expenditure and income earned from the operation on its Comprehensive Income &amp; Expenditure Statement. Note 53 provides further details.</w:t>
      </w:r>
    </w:p>
    <w:p w14:paraId="01F6689B" w14:textId="77777777" w:rsidR="00985055" w:rsidRPr="00183434" w:rsidRDefault="00985055" w:rsidP="00183434">
      <w:pPr>
        <w:jc w:val="both"/>
        <w:rPr>
          <w:rFonts w:cs="Arial"/>
          <w:b/>
          <w:sz w:val="23"/>
          <w:szCs w:val="23"/>
        </w:rPr>
      </w:pPr>
    </w:p>
    <w:p w14:paraId="6517C059" w14:textId="77777777" w:rsidR="00985055" w:rsidRPr="00183434" w:rsidRDefault="00985055" w:rsidP="00183434">
      <w:pPr>
        <w:jc w:val="both"/>
        <w:rPr>
          <w:rFonts w:cs="Arial"/>
          <w:b/>
          <w:sz w:val="23"/>
          <w:szCs w:val="23"/>
          <w:u w:val="single"/>
        </w:rPr>
      </w:pPr>
      <w:r w:rsidRPr="00183434">
        <w:rPr>
          <w:rFonts w:cs="Arial"/>
          <w:b/>
          <w:sz w:val="23"/>
          <w:szCs w:val="23"/>
        </w:rPr>
        <w:t>1.24</w:t>
      </w:r>
      <w:r w:rsidRPr="00183434">
        <w:rPr>
          <w:rFonts w:cs="Arial"/>
          <w:b/>
          <w:sz w:val="23"/>
          <w:szCs w:val="23"/>
        </w:rPr>
        <w:tab/>
      </w:r>
      <w:r w:rsidRPr="00183434">
        <w:rPr>
          <w:rFonts w:cs="Arial"/>
          <w:b/>
          <w:sz w:val="23"/>
          <w:szCs w:val="23"/>
          <w:u w:val="single"/>
        </w:rPr>
        <w:t>CONTINGENT ASSETS/LIABILITIES</w:t>
      </w:r>
    </w:p>
    <w:p w14:paraId="5B3AFF75" w14:textId="77777777" w:rsidR="00985055" w:rsidRPr="00183434" w:rsidRDefault="00985055" w:rsidP="00183434">
      <w:pPr>
        <w:jc w:val="both"/>
        <w:rPr>
          <w:rFonts w:cs="Arial"/>
          <w:sz w:val="23"/>
          <w:szCs w:val="23"/>
        </w:rPr>
      </w:pPr>
    </w:p>
    <w:p w14:paraId="01671648" w14:textId="77777777" w:rsidR="00985055" w:rsidRPr="00183434" w:rsidRDefault="00985055" w:rsidP="00183434">
      <w:pPr>
        <w:ind w:left="720"/>
        <w:jc w:val="both"/>
        <w:rPr>
          <w:rFonts w:cs="Arial"/>
          <w:b/>
          <w:sz w:val="23"/>
          <w:szCs w:val="23"/>
        </w:rPr>
      </w:pPr>
      <w:r w:rsidRPr="00183434">
        <w:rPr>
          <w:rFonts w:cs="Arial"/>
          <w:sz w:val="23"/>
          <w:szCs w:val="23"/>
        </w:rPr>
        <w:t>Contingent assets/liabilities are not recognised in the accounting statements but, where they exist, they are disclosed by way of a note to the accounts.</w:t>
      </w:r>
    </w:p>
    <w:p w14:paraId="6ACE7569" w14:textId="77777777" w:rsidR="00985055" w:rsidRPr="00183434" w:rsidRDefault="00985055" w:rsidP="00183434">
      <w:pPr>
        <w:jc w:val="both"/>
        <w:rPr>
          <w:rFonts w:cs="Arial"/>
          <w:sz w:val="23"/>
          <w:szCs w:val="23"/>
        </w:rPr>
      </w:pPr>
    </w:p>
    <w:p w14:paraId="0D7B3243" w14:textId="77777777" w:rsidR="00985055" w:rsidRPr="00183434" w:rsidRDefault="00985055" w:rsidP="00183434">
      <w:pPr>
        <w:jc w:val="both"/>
        <w:rPr>
          <w:rFonts w:cs="Arial"/>
          <w:b/>
          <w:sz w:val="23"/>
          <w:szCs w:val="23"/>
        </w:rPr>
      </w:pPr>
      <w:r w:rsidRPr="00183434">
        <w:rPr>
          <w:rFonts w:cs="Arial"/>
          <w:b/>
          <w:sz w:val="23"/>
          <w:szCs w:val="23"/>
        </w:rPr>
        <w:t>1.25</w:t>
      </w:r>
      <w:r w:rsidRPr="00183434">
        <w:rPr>
          <w:rFonts w:cs="Arial"/>
          <w:b/>
          <w:sz w:val="23"/>
          <w:szCs w:val="23"/>
        </w:rPr>
        <w:tab/>
      </w:r>
      <w:r w:rsidRPr="00183434">
        <w:rPr>
          <w:rFonts w:cs="Arial"/>
          <w:b/>
          <w:sz w:val="23"/>
          <w:szCs w:val="23"/>
          <w:u w:val="single"/>
        </w:rPr>
        <w:t>PRIOR PERIOD ADJUSTMENTS</w:t>
      </w:r>
    </w:p>
    <w:p w14:paraId="4A43EFC2" w14:textId="77777777" w:rsidR="00985055" w:rsidRPr="00183434" w:rsidRDefault="00985055" w:rsidP="00183434">
      <w:pPr>
        <w:ind w:left="720"/>
        <w:jc w:val="both"/>
        <w:rPr>
          <w:rFonts w:cs="Arial"/>
          <w:sz w:val="23"/>
          <w:szCs w:val="23"/>
        </w:rPr>
      </w:pPr>
    </w:p>
    <w:p w14:paraId="2B51C0E4" w14:textId="77777777" w:rsidR="00985055" w:rsidRPr="00183434" w:rsidRDefault="00985055" w:rsidP="00183434">
      <w:pPr>
        <w:ind w:left="720"/>
        <w:jc w:val="both"/>
        <w:rPr>
          <w:rFonts w:cs="Arial"/>
          <w:sz w:val="23"/>
          <w:szCs w:val="23"/>
        </w:rPr>
      </w:pPr>
      <w:r w:rsidRPr="00183434">
        <w:rPr>
          <w:rFonts w:cs="Arial"/>
          <w:sz w:val="23"/>
          <w:szCs w:val="23"/>
        </w:rPr>
        <w:t>Prior period adjustments may arise because of a change in accounting policies or to correct a material error. Changes in accounting estimates are accounted for prospectively and do not give rise to a prior period adjustment.</w:t>
      </w:r>
    </w:p>
    <w:p w14:paraId="7A61B561" w14:textId="77777777" w:rsidR="00985055" w:rsidRPr="00183434" w:rsidRDefault="00985055" w:rsidP="00183434">
      <w:pPr>
        <w:ind w:left="720"/>
        <w:jc w:val="both"/>
        <w:rPr>
          <w:rFonts w:cs="Arial"/>
          <w:sz w:val="23"/>
          <w:szCs w:val="23"/>
        </w:rPr>
      </w:pPr>
    </w:p>
    <w:p w14:paraId="1178402E" w14:textId="77777777" w:rsidR="00985055" w:rsidRPr="00183434" w:rsidRDefault="00985055" w:rsidP="00183434">
      <w:pPr>
        <w:ind w:left="720"/>
        <w:jc w:val="both"/>
        <w:rPr>
          <w:rFonts w:cs="Arial"/>
          <w:sz w:val="23"/>
          <w:szCs w:val="23"/>
        </w:rPr>
      </w:pPr>
      <w:r w:rsidRPr="00183434">
        <w:rPr>
          <w:rFonts w:cs="Arial"/>
          <w:sz w:val="23"/>
          <w:szCs w:val="23"/>
        </w:rPr>
        <w:t>Changes in accounting policies are only made when required by proper accounting practices or the change provides more reliable and relevant information on the Authority’s financial position. Any change is applied retrospectively by adjusting opening balances and comparative amounts for the prior period as if the new policy had always been applied.</w:t>
      </w:r>
    </w:p>
    <w:p w14:paraId="4D42D497" w14:textId="77777777" w:rsidR="00985055" w:rsidRPr="00183434" w:rsidRDefault="00985055" w:rsidP="00183434">
      <w:pPr>
        <w:ind w:left="720"/>
        <w:jc w:val="both"/>
        <w:rPr>
          <w:rFonts w:cs="Arial"/>
          <w:sz w:val="23"/>
          <w:szCs w:val="23"/>
        </w:rPr>
      </w:pPr>
    </w:p>
    <w:p w14:paraId="17E28152" w14:textId="77777777" w:rsidR="00985055" w:rsidRPr="00183434" w:rsidRDefault="00985055" w:rsidP="00183434">
      <w:pPr>
        <w:ind w:left="720"/>
        <w:jc w:val="both"/>
        <w:rPr>
          <w:rFonts w:cs="Arial"/>
          <w:sz w:val="23"/>
          <w:szCs w:val="23"/>
        </w:rPr>
      </w:pPr>
      <w:r w:rsidRPr="00183434">
        <w:rPr>
          <w:rFonts w:cs="Arial"/>
          <w:sz w:val="23"/>
          <w:szCs w:val="23"/>
        </w:rPr>
        <w:lastRenderedPageBreak/>
        <w:t xml:space="preserve">Material errors discovered in prior period figures are corrected retrospectively by adjusting opening balances and comparative amounts for the prior period. </w:t>
      </w:r>
    </w:p>
    <w:p w14:paraId="6787DFCF" w14:textId="77777777" w:rsidR="00985055" w:rsidRPr="00183434" w:rsidRDefault="00985055" w:rsidP="00183434">
      <w:pPr>
        <w:jc w:val="both"/>
        <w:rPr>
          <w:rFonts w:cs="Arial"/>
          <w:sz w:val="23"/>
          <w:szCs w:val="23"/>
        </w:rPr>
      </w:pPr>
    </w:p>
    <w:p w14:paraId="62A1EACE" w14:textId="77777777" w:rsidR="00985055" w:rsidRPr="00183434" w:rsidRDefault="00985055" w:rsidP="00183434">
      <w:pPr>
        <w:jc w:val="both"/>
        <w:rPr>
          <w:rFonts w:cs="Arial"/>
          <w:b/>
          <w:sz w:val="23"/>
          <w:szCs w:val="23"/>
        </w:rPr>
      </w:pPr>
      <w:r w:rsidRPr="00183434">
        <w:rPr>
          <w:rFonts w:cs="Arial"/>
          <w:b/>
          <w:sz w:val="23"/>
          <w:szCs w:val="23"/>
        </w:rPr>
        <w:t>1.26</w:t>
      </w:r>
      <w:r w:rsidRPr="00183434">
        <w:rPr>
          <w:rFonts w:cs="Arial"/>
          <w:b/>
          <w:sz w:val="23"/>
          <w:szCs w:val="23"/>
        </w:rPr>
        <w:tab/>
      </w:r>
      <w:r w:rsidRPr="00183434">
        <w:rPr>
          <w:rFonts w:cs="Arial"/>
          <w:b/>
          <w:sz w:val="23"/>
          <w:szCs w:val="23"/>
          <w:u w:val="single"/>
        </w:rPr>
        <w:t>FAIR VALUE MEASUREMENT</w:t>
      </w:r>
    </w:p>
    <w:p w14:paraId="78B9BC2C" w14:textId="77777777" w:rsidR="00985055" w:rsidRPr="00183434" w:rsidRDefault="00985055" w:rsidP="00183434">
      <w:pPr>
        <w:jc w:val="both"/>
        <w:rPr>
          <w:rFonts w:cs="Arial"/>
          <w:b/>
          <w:sz w:val="23"/>
          <w:szCs w:val="23"/>
          <w:u w:val="single"/>
        </w:rPr>
      </w:pPr>
    </w:p>
    <w:p w14:paraId="0874CDF0" w14:textId="77777777" w:rsidR="00985055" w:rsidRPr="00183434" w:rsidRDefault="00985055" w:rsidP="00183434">
      <w:pPr>
        <w:ind w:left="720"/>
        <w:jc w:val="both"/>
        <w:rPr>
          <w:rFonts w:cs="Arial"/>
          <w:sz w:val="23"/>
          <w:szCs w:val="23"/>
        </w:rPr>
      </w:pPr>
      <w:r w:rsidRPr="00183434">
        <w:rPr>
          <w:rFonts w:cs="Arial"/>
          <w:sz w:val="23"/>
          <w:szCs w:val="23"/>
        </w:rPr>
        <w:t>The Council measures some of its non-financial assets such as surplus assets and investment properties and some of its financial instruments at fair value at each reporting date. Fair value is defined as the price that would be received to sell an asset or paid to transfer a liability in an orderly transaction between market participants at the measurement date. It assumes that the transaction takes place either:</w:t>
      </w:r>
    </w:p>
    <w:p w14:paraId="040D1DAC" w14:textId="77777777" w:rsidR="00985055" w:rsidRPr="00183434" w:rsidRDefault="00985055" w:rsidP="00183434">
      <w:pPr>
        <w:numPr>
          <w:ilvl w:val="0"/>
          <w:numId w:val="32"/>
        </w:numPr>
        <w:jc w:val="both"/>
        <w:rPr>
          <w:rFonts w:cs="Arial"/>
          <w:sz w:val="23"/>
          <w:szCs w:val="23"/>
        </w:rPr>
      </w:pPr>
      <w:r w:rsidRPr="00183434">
        <w:rPr>
          <w:rFonts w:cs="Arial"/>
          <w:sz w:val="23"/>
          <w:szCs w:val="23"/>
        </w:rPr>
        <w:t>In the principal market for the asset or liability, or</w:t>
      </w:r>
    </w:p>
    <w:p w14:paraId="06380CC8" w14:textId="77777777" w:rsidR="00985055" w:rsidRPr="00183434" w:rsidRDefault="00985055" w:rsidP="00183434">
      <w:pPr>
        <w:numPr>
          <w:ilvl w:val="0"/>
          <w:numId w:val="32"/>
        </w:numPr>
        <w:jc w:val="both"/>
        <w:rPr>
          <w:rFonts w:cs="Arial"/>
          <w:sz w:val="23"/>
          <w:szCs w:val="23"/>
        </w:rPr>
      </w:pPr>
      <w:r w:rsidRPr="00183434">
        <w:rPr>
          <w:rFonts w:cs="Arial"/>
          <w:sz w:val="23"/>
          <w:szCs w:val="23"/>
        </w:rPr>
        <w:t>In the absence of the principal market, in the most advantageous market for the asset or liability</w:t>
      </w:r>
    </w:p>
    <w:p w14:paraId="2F4EF819" w14:textId="77777777" w:rsidR="00985055" w:rsidRPr="00183434" w:rsidRDefault="00985055" w:rsidP="00183434">
      <w:pPr>
        <w:jc w:val="both"/>
        <w:rPr>
          <w:rFonts w:cs="Arial"/>
          <w:sz w:val="23"/>
          <w:szCs w:val="23"/>
        </w:rPr>
      </w:pPr>
    </w:p>
    <w:p w14:paraId="0390ADB4" w14:textId="77777777" w:rsidR="00985055" w:rsidRPr="00183434" w:rsidRDefault="00985055" w:rsidP="00183434">
      <w:pPr>
        <w:ind w:left="720"/>
        <w:jc w:val="both"/>
        <w:rPr>
          <w:rFonts w:cs="Arial"/>
          <w:sz w:val="23"/>
          <w:szCs w:val="23"/>
        </w:rPr>
      </w:pPr>
      <w:r w:rsidRPr="00183434">
        <w:rPr>
          <w:rFonts w:cs="Arial"/>
          <w:sz w:val="23"/>
          <w:szCs w:val="23"/>
        </w:rPr>
        <w:t xml:space="preserve">The Council measures the fair value of an asset or liability on the same basis that market participants would use when pricing the asset or liability, </w:t>
      </w:r>
      <w:proofErr w:type="gramStart"/>
      <w:r w:rsidRPr="00183434">
        <w:rPr>
          <w:rFonts w:cs="Arial"/>
          <w:sz w:val="23"/>
          <w:szCs w:val="23"/>
        </w:rPr>
        <w:t>assuming that</w:t>
      </w:r>
      <w:proofErr w:type="gramEnd"/>
      <w:r w:rsidRPr="00183434">
        <w:rPr>
          <w:rFonts w:cs="Arial"/>
          <w:sz w:val="23"/>
          <w:szCs w:val="23"/>
        </w:rPr>
        <w:t xml:space="preserve"> market participants would act in their economic best interest. When measuring the fair value of a non-financial asset, the Council </w:t>
      </w:r>
      <w:proofErr w:type="gramStart"/>
      <w:r w:rsidRPr="00183434">
        <w:rPr>
          <w:rFonts w:cs="Arial"/>
          <w:sz w:val="23"/>
          <w:szCs w:val="23"/>
        </w:rPr>
        <w:t>takes into account</w:t>
      </w:r>
      <w:proofErr w:type="gramEnd"/>
      <w:r w:rsidRPr="00183434">
        <w:rPr>
          <w:rFonts w:cs="Arial"/>
          <w:sz w:val="23"/>
          <w:szCs w:val="23"/>
        </w:rPr>
        <w:t xml:space="preserve"> a market participant’s ability to generate economic benefits by using or selling the asset in its highest and best use. </w:t>
      </w:r>
    </w:p>
    <w:p w14:paraId="606484F7" w14:textId="77777777" w:rsidR="00985055" w:rsidRPr="00183434" w:rsidRDefault="00985055" w:rsidP="00183434">
      <w:pPr>
        <w:ind w:left="720"/>
        <w:jc w:val="both"/>
        <w:rPr>
          <w:rFonts w:cs="Arial"/>
          <w:sz w:val="23"/>
          <w:szCs w:val="23"/>
          <w:highlight w:val="cyan"/>
        </w:rPr>
      </w:pPr>
    </w:p>
    <w:p w14:paraId="0B4DE8E0" w14:textId="77777777" w:rsidR="00985055" w:rsidRPr="00183434" w:rsidRDefault="00985055" w:rsidP="00183434">
      <w:pPr>
        <w:ind w:left="720"/>
        <w:jc w:val="both"/>
        <w:rPr>
          <w:rFonts w:cs="Arial"/>
          <w:sz w:val="23"/>
          <w:szCs w:val="23"/>
        </w:rPr>
      </w:pPr>
      <w:r w:rsidRPr="00183434">
        <w:rPr>
          <w:rFonts w:cs="Arial"/>
          <w:sz w:val="23"/>
          <w:szCs w:val="23"/>
        </w:rPr>
        <w:t>The Council uses valuation techniques that are appropriate in the circumstances and for which sufficient data is available, maximising the use of relevant observable inputs and minimising the use of unobservable inputs.</w:t>
      </w:r>
    </w:p>
    <w:p w14:paraId="46EB977E" w14:textId="77777777" w:rsidR="00985055" w:rsidRPr="00183434" w:rsidRDefault="00985055" w:rsidP="00183434">
      <w:pPr>
        <w:ind w:left="720"/>
        <w:jc w:val="both"/>
        <w:rPr>
          <w:rFonts w:cs="Arial"/>
          <w:sz w:val="23"/>
          <w:szCs w:val="23"/>
        </w:rPr>
      </w:pPr>
    </w:p>
    <w:p w14:paraId="571F8680" w14:textId="77777777" w:rsidR="00985055" w:rsidRPr="00183434" w:rsidRDefault="00985055" w:rsidP="00183434">
      <w:pPr>
        <w:ind w:left="720"/>
        <w:jc w:val="both"/>
        <w:rPr>
          <w:rFonts w:cs="Arial"/>
          <w:sz w:val="23"/>
          <w:szCs w:val="23"/>
        </w:rPr>
      </w:pPr>
      <w:r w:rsidRPr="00183434">
        <w:rPr>
          <w:rFonts w:cs="Arial"/>
          <w:sz w:val="23"/>
          <w:szCs w:val="23"/>
        </w:rPr>
        <w:t>Inputs to the valuation techniques in respect of assets and liabilities for which fair value is measured or disclosed in the financial statements are categorised within the fair value hierarchy as follows:</w:t>
      </w:r>
    </w:p>
    <w:p w14:paraId="6F77D282" w14:textId="77777777" w:rsidR="00985055" w:rsidRPr="00183434" w:rsidRDefault="00985055" w:rsidP="00183434">
      <w:pPr>
        <w:ind w:left="720"/>
        <w:jc w:val="both"/>
        <w:rPr>
          <w:rFonts w:cs="Arial"/>
          <w:sz w:val="23"/>
          <w:szCs w:val="23"/>
        </w:rPr>
      </w:pPr>
    </w:p>
    <w:p w14:paraId="62D3C8A6" w14:textId="77777777" w:rsidR="00985055" w:rsidRPr="00183434" w:rsidRDefault="00985055" w:rsidP="00183434">
      <w:pPr>
        <w:numPr>
          <w:ilvl w:val="0"/>
          <w:numId w:val="33"/>
        </w:numPr>
        <w:jc w:val="both"/>
        <w:rPr>
          <w:rFonts w:cs="Arial"/>
          <w:sz w:val="23"/>
          <w:szCs w:val="23"/>
        </w:rPr>
      </w:pPr>
      <w:r w:rsidRPr="00183434">
        <w:rPr>
          <w:rFonts w:cs="Arial"/>
          <w:sz w:val="23"/>
          <w:szCs w:val="23"/>
        </w:rPr>
        <w:t>Level 1 – quoted prices (unadjusted) in active markets for identical assets or liabilities that the authority can access at the measurement date</w:t>
      </w:r>
    </w:p>
    <w:p w14:paraId="71C57938" w14:textId="77777777" w:rsidR="00985055" w:rsidRPr="00183434" w:rsidRDefault="00985055" w:rsidP="00183434">
      <w:pPr>
        <w:ind w:left="1440"/>
        <w:jc w:val="both"/>
        <w:rPr>
          <w:rFonts w:cs="Arial"/>
          <w:sz w:val="23"/>
          <w:szCs w:val="23"/>
        </w:rPr>
      </w:pPr>
    </w:p>
    <w:p w14:paraId="3FC84F48" w14:textId="77777777" w:rsidR="00985055" w:rsidRPr="00183434" w:rsidRDefault="00985055" w:rsidP="00183434">
      <w:pPr>
        <w:numPr>
          <w:ilvl w:val="0"/>
          <w:numId w:val="33"/>
        </w:numPr>
        <w:jc w:val="both"/>
        <w:rPr>
          <w:rFonts w:cs="Arial"/>
          <w:sz w:val="23"/>
          <w:szCs w:val="23"/>
        </w:rPr>
      </w:pPr>
      <w:r w:rsidRPr="00183434">
        <w:rPr>
          <w:rFonts w:cs="Arial"/>
          <w:sz w:val="23"/>
          <w:szCs w:val="23"/>
        </w:rPr>
        <w:t>Level 2 – inputs other than quoted prices included in Level 1 that are observable for the asset or liability, either directly or indirectly</w:t>
      </w:r>
    </w:p>
    <w:p w14:paraId="02965367" w14:textId="77777777" w:rsidR="00985055" w:rsidRPr="00183434" w:rsidRDefault="00985055" w:rsidP="00183434">
      <w:pPr>
        <w:jc w:val="both"/>
        <w:rPr>
          <w:rFonts w:cs="Arial"/>
          <w:sz w:val="23"/>
          <w:szCs w:val="23"/>
        </w:rPr>
      </w:pPr>
    </w:p>
    <w:p w14:paraId="5C0A4C84" w14:textId="77777777" w:rsidR="00985055" w:rsidRPr="00183434" w:rsidRDefault="00985055" w:rsidP="00183434">
      <w:pPr>
        <w:numPr>
          <w:ilvl w:val="0"/>
          <w:numId w:val="33"/>
        </w:numPr>
        <w:jc w:val="both"/>
        <w:rPr>
          <w:rFonts w:cs="Arial"/>
          <w:sz w:val="23"/>
          <w:szCs w:val="23"/>
        </w:rPr>
      </w:pPr>
      <w:r w:rsidRPr="00183434">
        <w:rPr>
          <w:rFonts w:cs="Arial"/>
          <w:sz w:val="23"/>
          <w:szCs w:val="23"/>
        </w:rPr>
        <w:t>Level 3 – unobservable inputs for the asset or liability</w:t>
      </w:r>
    </w:p>
    <w:p w14:paraId="12264358" w14:textId="77777777" w:rsidR="00985055" w:rsidRPr="00183434" w:rsidRDefault="00985055" w:rsidP="00183434">
      <w:pPr>
        <w:pStyle w:val="ListParagraph"/>
        <w:jc w:val="both"/>
        <w:rPr>
          <w:rFonts w:ascii="Arial" w:hAnsi="Arial" w:cs="Arial"/>
          <w:sz w:val="23"/>
          <w:szCs w:val="23"/>
        </w:rPr>
      </w:pPr>
    </w:p>
    <w:p w14:paraId="60F233D9" w14:textId="77777777" w:rsidR="00985055" w:rsidRPr="00183434" w:rsidRDefault="00985055" w:rsidP="00183434">
      <w:pPr>
        <w:jc w:val="both"/>
        <w:rPr>
          <w:rFonts w:cs="Arial"/>
          <w:sz w:val="23"/>
          <w:szCs w:val="23"/>
        </w:rPr>
      </w:pPr>
      <w:r w:rsidRPr="00183434">
        <w:rPr>
          <w:rFonts w:cs="Arial"/>
          <w:b/>
          <w:sz w:val="23"/>
          <w:szCs w:val="23"/>
        </w:rPr>
        <w:t>1.27</w:t>
      </w:r>
      <w:r w:rsidRPr="00183434">
        <w:rPr>
          <w:rFonts w:cs="Arial"/>
          <w:sz w:val="23"/>
          <w:szCs w:val="23"/>
        </w:rPr>
        <w:tab/>
      </w:r>
      <w:r w:rsidRPr="00183434">
        <w:rPr>
          <w:rFonts w:cs="Arial"/>
          <w:b/>
          <w:sz w:val="23"/>
          <w:szCs w:val="23"/>
          <w:u w:val="single"/>
        </w:rPr>
        <w:t>COUNCIL TAX AND NON-DOMESTIC RATES</w:t>
      </w:r>
    </w:p>
    <w:p w14:paraId="46BC0477" w14:textId="77777777" w:rsidR="00985055" w:rsidRPr="00183434" w:rsidRDefault="00985055" w:rsidP="00183434">
      <w:pPr>
        <w:jc w:val="both"/>
        <w:rPr>
          <w:rFonts w:cs="Arial"/>
          <w:sz w:val="23"/>
          <w:szCs w:val="23"/>
        </w:rPr>
      </w:pPr>
    </w:p>
    <w:p w14:paraId="36043401" w14:textId="77777777" w:rsidR="00985055" w:rsidRPr="00183434" w:rsidRDefault="00985055" w:rsidP="00183434">
      <w:pPr>
        <w:ind w:left="720"/>
        <w:jc w:val="both"/>
        <w:rPr>
          <w:rFonts w:cs="Arial"/>
          <w:sz w:val="23"/>
          <w:szCs w:val="23"/>
        </w:rPr>
      </w:pPr>
      <w:r w:rsidRPr="00183434">
        <w:rPr>
          <w:rFonts w:cs="Arial"/>
          <w:sz w:val="23"/>
          <w:szCs w:val="23"/>
        </w:rPr>
        <w:t>Billing authorities act as agents, collecting council tax and non-domestic rates (NDR) on behalf of the major preceptors (including government for NDR) and, as principals, collecting council tax and NDR for themselves. Billing authorities are required by statute to maintain a separate fund (i.e. the Collection Fund) for the collection and distribution of amounts due in respect of council tax and NDR. Under the legislative framework for the Collection Fund, billing authorities, major preceptors and central government share proportionally the risks and rewards that the amount of council tax and NDR collected could be less or more than predicted.</w:t>
      </w:r>
    </w:p>
    <w:p w14:paraId="5A4BDDFB" w14:textId="77777777" w:rsidR="00985055" w:rsidRPr="00183434" w:rsidRDefault="00985055" w:rsidP="00183434">
      <w:pPr>
        <w:ind w:left="720"/>
        <w:jc w:val="both"/>
        <w:rPr>
          <w:rFonts w:cs="Arial"/>
          <w:sz w:val="23"/>
          <w:szCs w:val="23"/>
        </w:rPr>
      </w:pPr>
    </w:p>
    <w:p w14:paraId="2B8FDB4C" w14:textId="77777777" w:rsidR="00985055" w:rsidRPr="00183434" w:rsidRDefault="00985055" w:rsidP="00183434">
      <w:pPr>
        <w:ind w:left="720"/>
        <w:jc w:val="both"/>
        <w:rPr>
          <w:rFonts w:cs="Arial"/>
          <w:sz w:val="23"/>
          <w:szCs w:val="23"/>
        </w:rPr>
      </w:pPr>
      <w:r w:rsidRPr="00183434">
        <w:rPr>
          <w:rFonts w:cs="Arial"/>
          <w:sz w:val="23"/>
          <w:szCs w:val="23"/>
        </w:rPr>
        <w:t>The council tax and NDR income included in the Comprehensive Income and Expenditure Statement is the authority’s share of accrued income for the year. However, regulations determine the amount of council tax and NDR that must be included in the authority’s General Fund. Therefore, the difference between the income included in the Comprehensive Income and Expenditure Statement and the amount required by regulation to be credited to the General Fund is taken to the Collection Fund Adjustment Account and included as a reconciling item in the Movement in Reserves Statement.</w:t>
      </w:r>
    </w:p>
    <w:p w14:paraId="48DCC8C7" w14:textId="77777777" w:rsidR="00985055" w:rsidRPr="00183434" w:rsidRDefault="00985055" w:rsidP="00183434">
      <w:pPr>
        <w:ind w:left="720"/>
        <w:jc w:val="both"/>
        <w:rPr>
          <w:rFonts w:cs="Arial"/>
          <w:sz w:val="23"/>
          <w:szCs w:val="23"/>
        </w:rPr>
      </w:pPr>
    </w:p>
    <w:p w14:paraId="590F4FC9" w14:textId="77777777" w:rsidR="00985055" w:rsidRPr="00183434" w:rsidRDefault="00985055" w:rsidP="00183434">
      <w:pPr>
        <w:ind w:left="720"/>
        <w:jc w:val="both"/>
        <w:rPr>
          <w:rFonts w:cs="Arial"/>
          <w:sz w:val="23"/>
          <w:szCs w:val="23"/>
        </w:rPr>
      </w:pPr>
      <w:r w:rsidRPr="00183434">
        <w:rPr>
          <w:rFonts w:cs="Arial"/>
          <w:sz w:val="23"/>
          <w:szCs w:val="23"/>
        </w:rPr>
        <w:t>The balance sheet includes the authority’s share of the end of year balances in respect of council tax and NDR relating to arrears, impairment allowances, prepayments and appeals.</w:t>
      </w:r>
    </w:p>
    <w:p w14:paraId="3B74B586" w14:textId="77777777" w:rsidR="00985055" w:rsidRPr="00183434" w:rsidRDefault="00985055" w:rsidP="00183434">
      <w:pPr>
        <w:ind w:left="720"/>
        <w:jc w:val="both"/>
        <w:rPr>
          <w:rFonts w:cs="Arial"/>
          <w:sz w:val="23"/>
          <w:szCs w:val="23"/>
        </w:rPr>
      </w:pPr>
    </w:p>
    <w:p w14:paraId="0764B7EA" w14:textId="77777777" w:rsidR="00985055" w:rsidRPr="00183434" w:rsidRDefault="00985055" w:rsidP="00183434">
      <w:pPr>
        <w:ind w:left="720"/>
        <w:jc w:val="both"/>
        <w:rPr>
          <w:rFonts w:cs="Arial"/>
          <w:sz w:val="23"/>
          <w:szCs w:val="23"/>
        </w:rPr>
      </w:pPr>
      <w:r w:rsidRPr="00183434">
        <w:rPr>
          <w:rFonts w:cs="Arial"/>
          <w:sz w:val="23"/>
          <w:szCs w:val="23"/>
        </w:rPr>
        <w:t>Where debtor balances are identified as impaired because there is a likelihood arising from a past event that payments due will not be made, the asset is written down and a charge made to the Collection Fund. The impairment loss is measured as the difference between the carrying amount and the revised future cashflows.</w:t>
      </w:r>
    </w:p>
    <w:p w14:paraId="3DF04481" w14:textId="77777777" w:rsidR="00985055" w:rsidRPr="00183434" w:rsidRDefault="00985055" w:rsidP="00183434">
      <w:pPr>
        <w:jc w:val="both"/>
        <w:rPr>
          <w:rFonts w:cs="Arial"/>
          <w:sz w:val="23"/>
          <w:szCs w:val="23"/>
        </w:rPr>
      </w:pPr>
    </w:p>
    <w:p w14:paraId="35036CD7" w14:textId="5138E982" w:rsidR="00386757" w:rsidRPr="00183434" w:rsidRDefault="00386757" w:rsidP="00183434">
      <w:pPr>
        <w:ind w:left="720"/>
        <w:jc w:val="both"/>
        <w:rPr>
          <w:rFonts w:cs="Arial"/>
          <w:sz w:val="23"/>
          <w:szCs w:val="23"/>
        </w:rPr>
      </w:pPr>
    </w:p>
    <w:p w14:paraId="5F73331E" w14:textId="5547CA08" w:rsidR="007C64D9" w:rsidRPr="00183434" w:rsidRDefault="007C64D9" w:rsidP="00183434">
      <w:pPr>
        <w:jc w:val="both"/>
        <w:rPr>
          <w:rFonts w:cs="Arial"/>
          <w:sz w:val="23"/>
          <w:szCs w:val="23"/>
        </w:rPr>
      </w:pPr>
    </w:p>
    <w:p w14:paraId="544A6297" w14:textId="77777777" w:rsidR="00885729" w:rsidRPr="00183434" w:rsidRDefault="00885729" w:rsidP="00183434">
      <w:pPr>
        <w:jc w:val="both"/>
        <w:rPr>
          <w:rFonts w:cs="Arial"/>
          <w:sz w:val="23"/>
          <w:szCs w:val="23"/>
          <w:highlight w:val="cyan"/>
        </w:rPr>
      </w:pPr>
    </w:p>
    <w:p w14:paraId="5A4C7DCC" w14:textId="77777777" w:rsidR="007E4DA8" w:rsidRPr="00183434" w:rsidRDefault="007E4DA8" w:rsidP="00183434">
      <w:pPr>
        <w:numPr>
          <w:ilvl w:val="0"/>
          <w:numId w:val="28"/>
        </w:numPr>
        <w:jc w:val="both"/>
        <w:rPr>
          <w:rFonts w:cs="Arial"/>
          <w:b/>
          <w:sz w:val="23"/>
          <w:szCs w:val="23"/>
          <w:u w:val="single"/>
        </w:rPr>
      </w:pPr>
      <w:r w:rsidRPr="00183434">
        <w:rPr>
          <w:rFonts w:cs="Arial"/>
          <w:b/>
          <w:sz w:val="23"/>
          <w:szCs w:val="23"/>
          <w:u w:val="single"/>
        </w:rPr>
        <w:t>ACCOUNTING STANDARDS THAT HAVE BEEN ISSUED BUT HAVE NOT YET BEEN ADOPTED</w:t>
      </w:r>
    </w:p>
    <w:p w14:paraId="4382E4FC" w14:textId="77777777" w:rsidR="007E4DA8" w:rsidRPr="00183434" w:rsidRDefault="007E4DA8" w:rsidP="00183434">
      <w:pPr>
        <w:jc w:val="both"/>
        <w:rPr>
          <w:rFonts w:cs="Arial"/>
          <w:sz w:val="23"/>
          <w:szCs w:val="23"/>
        </w:rPr>
      </w:pPr>
    </w:p>
    <w:p w14:paraId="0F976447" w14:textId="77777777" w:rsidR="007E4DA8" w:rsidRPr="00183434" w:rsidRDefault="007E4DA8" w:rsidP="00183434">
      <w:pPr>
        <w:ind w:left="720"/>
        <w:jc w:val="both"/>
        <w:rPr>
          <w:rFonts w:cs="Arial"/>
          <w:sz w:val="23"/>
          <w:szCs w:val="23"/>
        </w:rPr>
      </w:pPr>
      <w:r w:rsidRPr="00183434">
        <w:rPr>
          <w:rFonts w:cs="Arial"/>
          <w:sz w:val="23"/>
          <w:szCs w:val="23"/>
        </w:rPr>
        <w:t>At the balance sheet date, the following new standards and amendments to existing standards have been published but not yet adopted by the Code of Practice of Local Authority Accounting in the United Kingdom and will be adopted in 25/26:</w:t>
      </w:r>
    </w:p>
    <w:p w14:paraId="3DEEAB45" w14:textId="77777777" w:rsidR="007E4DA8" w:rsidRPr="00183434" w:rsidRDefault="007E4DA8" w:rsidP="00183434">
      <w:pPr>
        <w:ind w:left="720"/>
        <w:jc w:val="both"/>
        <w:rPr>
          <w:rFonts w:cs="Arial"/>
          <w:sz w:val="23"/>
          <w:szCs w:val="23"/>
        </w:rPr>
      </w:pPr>
    </w:p>
    <w:p w14:paraId="082D47BE" w14:textId="77777777" w:rsidR="007E4DA8" w:rsidRPr="00183434" w:rsidRDefault="007E4DA8" w:rsidP="00183434">
      <w:pPr>
        <w:ind w:left="720"/>
        <w:jc w:val="both"/>
        <w:rPr>
          <w:rFonts w:cs="Arial"/>
          <w:sz w:val="23"/>
          <w:szCs w:val="23"/>
        </w:rPr>
      </w:pPr>
      <w:r w:rsidRPr="00183434">
        <w:rPr>
          <w:rFonts w:cs="Arial"/>
          <w:sz w:val="23"/>
          <w:szCs w:val="23"/>
        </w:rPr>
        <w:t>The Council has not early adopted any of the below standards or amendments. It is not anticipated that their adoption will have a material impact on the Council’s financial statements, although there may be changes to disclosures and presentation in future years.</w:t>
      </w:r>
    </w:p>
    <w:p w14:paraId="4C25F70D" w14:textId="77777777" w:rsidR="007E4DA8" w:rsidRPr="00183434" w:rsidRDefault="007E4DA8" w:rsidP="00183434">
      <w:pPr>
        <w:ind w:left="720"/>
        <w:jc w:val="both"/>
        <w:rPr>
          <w:rFonts w:cs="Arial"/>
          <w:sz w:val="23"/>
          <w:szCs w:val="23"/>
        </w:rPr>
      </w:pPr>
    </w:p>
    <w:p w14:paraId="67837BF2" w14:textId="6F4DA25C" w:rsidR="007E4DA8" w:rsidRPr="00183434" w:rsidRDefault="007E4DA8" w:rsidP="00183434">
      <w:pPr>
        <w:numPr>
          <w:ilvl w:val="0"/>
          <w:numId w:val="24"/>
        </w:numPr>
        <w:jc w:val="both"/>
        <w:rPr>
          <w:rFonts w:cs="Arial"/>
          <w:sz w:val="23"/>
          <w:szCs w:val="23"/>
        </w:rPr>
      </w:pPr>
      <w:r w:rsidRPr="00183434">
        <w:rPr>
          <w:rFonts w:cs="Arial"/>
          <w:sz w:val="23"/>
          <w:szCs w:val="23"/>
        </w:rPr>
        <w:t>IFRS 18 – Presentation and Disclosure in Financial Statements This standard replaces IAS 1 and introduces new requirements for the presentation of financial performance, including specified subtotals and enhanced disclosures. It is expected to be adopted by the Code from 1 April 2027.</w:t>
      </w:r>
    </w:p>
    <w:p w14:paraId="3A36E508" w14:textId="77777777" w:rsidR="007E4DA8" w:rsidRPr="00183434" w:rsidRDefault="007E4DA8" w:rsidP="00183434">
      <w:pPr>
        <w:ind w:left="720"/>
        <w:jc w:val="both"/>
        <w:rPr>
          <w:rFonts w:cs="Arial"/>
          <w:sz w:val="23"/>
          <w:szCs w:val="23"/>
        </w:rPr>
      </w:pPr>
    </w:p>
    <w:p w14:paraId="66FD2FE2" w14:textId="41E347EB" w:rsidR="007E4DA8" w:rsidRPr="00183434" w:rsidRDefault="007E4DA8" w:rsidP="00183434">
      <w:pPr>
        <w:numPr>
          <w:ilvl w:val="0"/>
          <w:numId w:val="24"/>
        </w:numPr>
        <w:jc w:val="both"/>
        <w:rPr>
          <w:rFonts w:cs="Arial"/>
          <w:sz w:val="23"/>
          <w:szCs w:val="23"/>
        </w:rPr>
      </w:pPr>
      <w:r w:rsidRPr="00183434">
        <w:rPr>
          <w:rFonts w:cs="Arial"/>
          <w:sz w:val="23"/>
          <w:szCs w:val="23"/>
        </w:rPr>
        <w:t xml:space="preserve">IFRS 19 – Subsidiaries without Public Accountability: Disclosures </w:t>
      </w:r>
      <w:proofErr w:type="gramStart"/>
      <w:r w:rsidRPr="00183434">
        <w:rPr>
          <w:rFonts w:cs="Arial"/>
          <w:sz w:val="23"/>
          <w:szCs w:val="23"/>
        </w:rPr>
        <w:t>This standard permits</w:t>
      </w:r>
      <w:proofErr w:type="gramEnd"/>
      <w:r w:rsidRPr="00183434">
        <w:rPr>
          <w:rFonts w:cs="Arial"/>
          <w:sz w:val="23"/>
          <w:szCs w:val="23"/>
        </w:rPr>
        <w:t xml:space="preserve"> eligible subsidiaries to apply reduced disclosure requirements. It is not expected to apply to local authorities.</w:t>
      </w:r>
    </w:p>
    <w:p w14:paraId="1A22D1FD" w14:textId="77777777" w:rsidR="007E4DA8" w:rsidRPr="00183434" w:rsidRDefault="007E4DA8" w:rsidP="00183434">
      <w:pPr>
        <w:ind w:left="720"/>
        <w:jc w:val="both"/>
        <w:rPr>
          <w:rFonts w:cs="Arial"/>
          <w:sz w:val="23"/>
          <w:szCs w:val="23"/>
        </w:rPr>
      </w:pPr>
    </w:p>
    <w:p w14:paraId="44DE8511" w14:textId="54895D74" w:rsidR="007E4DA8" w:rsidRPr="00183434" w:rsidRDefault="007E4DA8" w:rsidP="00183434">
      <w:pPr>
        <w:numPr>
          <w:ilvl w:val="0"/>
          <w:numId w:val="24"/>
        </w:numPr>
        <w:jc w:val="both"/>
        <w:rPr>
          <w:rFonts w:cs="Arial"/>
          <w:sz w:val="23"/>
          <w:szCs w:val="23"/>
        </w:rPr>
      </w:pPr>
      <w:r w:rsidRPr="00183434">
        <w:rPr>
          <w:rFonts w:cs="Arial"/>
          <w:sz w:val="23"/>
          <w:szCs w:val="23"/>
        </w:rPr>
        <w:t>Amendments to IAS 21 – Lack of Exchangeability These amendments provide guidance on determining exchange rates when currencies are not exchangeable. They are expected to be adopted by the Code from 1 April 2026.</w:t>
      </w:r>
    </w:p>
    <w:p w14:paraId="35D7AD59" w14:textId="77777777" w:rsidR="00A13C58" w:rsidRPr="00183434" w:rsidRDefault="00A13C58" w:rsidP="00183434">
      <w:pPr>
        <w:pStyle w:val="ListParagraph"/>
        <w:jc w:val="both"/>
        <w:rPr>
          <w:rFonts w:ascii="Arial" w:hAnsi="Arial" w:cs="Arial"/>
          <w:sz w:val="23"/>
          <w:szCs w:val="23"/>
        </w:rPr>
      </w:pPr>
    </w:p>
    <w:p w14:paraId="27A3B2D2" w14:textId="36D41193" w:rsidR="007E4DA8" w:rsidRPr="00183434" w:rsidRDefault="00A13C58" w:rsidP="00183434">
      <w:pPr>
        <w:pStyle w:val="ListParagraph"/>
        <w:numPr>
          <w:ilvl w:val="0"/>
          <w:numId w:val="24"/>
        </w:numPr>
        <w:jc w:val="both"/>
        <w:rPr>
          <w:rFonts w:ascii="Arial" w:hAnsi="Arial" w:cs="Arial"/>
          <w:sz w:val="23"/>
          <w:szCs w:val="23"/>
        </w:rPr>
      </w:pPr>
      <w:r w:rsidRPr="00183434">
        <w:rPr>
          <w:rFonts w:ascii="Arial" w:hAnsi="Arial" w:cs="Arial"/>
          <w:sz w:val="23"/>
          <w:szCs w:val="23"/>
        </w:rPr>
        <w:t>Amendments to IFRS 9 and IFRS 7 – Classification and Measurement of Financial Instruments These amendments clarify classification requirements and introduce additional disclosure requirements. They are expected to be adopted by the Code from 1 April 2026.</w:t>
      </w:r>
    </w:p>
    <w:p w14:paraId="03FB69D8" w14:textId="77777777" w:rsidR="00386757" w:rsidRPr="00183434" w:rsidRDefault="00386757" w:rsidP="00183434">
      <w:pPr>
        <w:jc w:val="both"/>
        <w:rPr>
          <w:rFonts w:cs="Arial"/>
          <w:sz w:val="23"/>
          <w:szCs w:val="23"/>
          <w:highlight w:val="cyan"/>
        </w:rPr>
      </w:pPr>
    </w:p>
    <w:p w14:paraId="5F183C7D" w14:textId="77777777" w:rsidR="00386757" w:rsidRPr="00183434" w:rsidRDefault="00386757" w:rsidP="00183434">
      <w:pPr>
        <w:jc w:val="both"/>
        <w:rPr>
          <w:rFonts w:cs="Arial"/>
          <w:sz w:val="23"/>
          <w:szCs w:val="23"/>
          <w:highlight w:val="cyan"/>
        </w:rPr>
      </w:pPr>
    </w:p>
    <w:p w14:paraId="6AA0D84D" w14:textId="77777777" w:rsidR="006674BB" w:rsidRPr="00183434" w:rsidRDefault="006674BB" w:rsidP="00183434">
      <w:pPr>
        <w:jc w:val="both"/>
        <w:rPr>
          <w:rFonts w:cs="Arial"/>
          <w:b/>
          <w:sz w:val="23"/>
          <w:szCs w:val="23"/>
        </w:rPr>
      </w:pPr>
      <w:r w:rsidRPr="00183434">
        <w:rPr>
          <w:rFonts w:cs="Arial"/>
          <w:b/>
          <w:sz w:val="23"/>
          <w:szCs w:val="23"/>
        </w:rPr>
        <w:t>3.</w:t>
      </w:r>
      <w:r w:rsidRPr="00183434">
        <w:rPr>
          <w:rFonts w:cs="Arial"/>
          <w:b/>
          <w:sz w:val="23"/>
          <w:szCs w:val="23"/>
        </w:rPr>
        <w:tab/>
      </w:r>
      <w:r w:rsidRPr="00183434">
        <w:rPr>
          <w:rFonts w:cs="Arial"/>
          <w:b/>
          <w:sz w:val="23"/>
          <w:szCs w:val="23"/>
          <w:u w:val="single"/>
        </w:rPr>
        <w:t>CRITICAL JUDGEMENTS IN APPLYING ACCOUNTING POLICIES</w:t>
      </w:r>
    </w:p>
    <w:p w14:paraId="3796F4EA" w14:textId="77777777" w:rsidR="006674BB" w:rsidRPr="00183434" w:rsidRDefault="006674BB" w:rsidP="00183434">
      <w:pPr>
        <w:jc w:val="both"/>
        <w:rPr>
          <w:rFonts w:cs="Arial"/>
          <w:sz w:val="23"/>
          <w:szCs w:val="23"/>
        </w:rPr>
      </w:pPr>
    </w:p>
    <w:p w14:paraId="353E80E9" w14:textId="77777777" w:rsidR="006674BB" w:rsidRPr="00183434" w:rsidRDefault="006674BB" w:rsidP="00183434">
      <w:pPr>
        <w:ind w:left="720"/>
        <w:jc w:val="both"/>
        <w:rPr>
          <w:rFonts w:cs="Arial"/>
          <w:sz w:val="23"/>
          <w:szCs w:val="23"/>
        </w:rPr>
      </w:pPr>
      <w:r w:rsidRPr="00183434">
        <w:rPr>
          <w:rFonts w:cs="Arial"/>
          <w:sz w:val="23"/>
          <w:szCs w:val="23"/>
        </w:rPr>
        <w:t>In applying the accounting policies set out in Note 1, the Authority has had to make certain judgements about complex transactions or those involving uncertainty about future events. The critical judgements made in the Statement of Accounts are:</w:t>
      </w:r>
    </w:p>
    <w:p w14:paraId="39E4448F" w14:textId="77777777" w:rsidR="006674BB" w:rsidRPr="00183434" w:rsidRDefault="006674BB" w:rsidP="00183434">
      <w:pPr>
        <w:jc w:val="both"/>
        <w:rPr>
          <w:rFonts w:cs="Arial"/>
          <w:sz w:val="23"/>
          <w:szCs w:val="23"/>
        </w:rPr>
      </w:pPr>
    </w:p>
    <w:p w14:paraId="0526FA98" w14:textId="77777777" w:rsidR="006674BB" w:rsidRPr="00183434" w:rsidRDefault="006674BB" w:rsidP="00183434">
      <w:pPr>
        <w:numPr>
          <w:ilvl w:val="0"/>
          <w:numId w:val="24"/>
        </w:numPr>
        <w:jc w:val="both"/>
        <w:rPr>
          <w:rFonts w:cs="Arial"/>
          <w:sz w:val="23"/>
          <w:szCs w:val="23"/>
        </w:rPr>
      </w:pPr>
      <w:r w:rsidRPr="00183434">
        <w:rPr>
          <w:rFonts w:cs="Arial"/>
          <w:sz w:val="23"/>
          <w:szCs w:val="23"/>
        </w:rPr>
        <w:t xml:space="preserve">There is a high degree of uncertainty about future levels of funding for local government. However, the Authority has determined that this uncertainty is not </w:t>
      </w:r>
      <w:r w:rsidRPr="00183434">
        <w:rPr>
          <w:rFonts w:cs="Arial"/>
          <w:sz w:val="23"/>
          <w:szCs w:val="23"/>
        </w:rPr>
        <w:lastRenderedPageBreak/>
        <w:t xml:space="preserve">yet sufficient to provide an indication that the assets of the Authority might be impaired </w:t>
      </w:r>
      <w:proofErr w:type="gramStart"/>
      <w:r w:rsidRPr="00183434">
        <w:rPr>
          <w:rFonts w:cs="Arial"/>
          <w:sz w:val="23"/>
          <w:szCs w:val="23"/>
        </w:rPr>
        <w:t>as a result of</w:t>
      </w:r>
      <w:proofErr w:type="gramEnd"/>
      <w:r w:rsidRPr="00183434">
        <w:rPr>
          <w:rFonts w:cs="Arial"/>
          <w:sz w:val="23"/>
          <w:szCs w:val="23"/>
        </w:rPr>
        <w:t xml:space="preserve"> a need to close facilities and reduce levels of service provision. </w:t>
      </w:r>
    </w:p>
    <w:p w14:paraId="43684820" w14:textId="77777777" w:rsidR="006674BB" w:rsidRPr="00183434" w:rsidRDefault="006674BB" w:rsidP="00183434">
      <w:pPr>
        <w:jc w:val="both"/>
        <w:rPr>
          <w:rFonts w:cs="Arial"/>
          <w:sz w:val="23"/>
          <w:szCs w:val="23"/>
        </w:rPr>
      </w:pPr>
    </w:p>
    <w:p w14:paraId="12A3C23A" w14:textId="77777777" w:rsidR="006674BB" w:rsidRPr="00183434" w:rsidRDefault="006674BB" w:rsidP="00183434">
      <w:pPr>
        <w:numPr>
          <w:ilvl w:val="0"/>
          <w:numId w:val="24"/>
        </w:numPr>
        <w:jc w:val="both"/>
        <w:rPr>
          <w:rFonts w:cs="Arial"/>
          <w:sz w:val="23"/>
          <w:szCs w:val="23"/>
        </w:rPr>
      </w:pPr>
      <w:r w:rsidRPr="00183434">
        <w:rPr>
          <w:rFonts w:cs="Arial"/>
          <w:sz w:val="23"/>
          <w:szCs w:val="23"/>
        </w:rPr>
        <w:t>The authority is the accountable body for the Staveley Towns Deal funding.</w:t>
      </w:r>
    </w:p>
    <w:p w14:paraId="2F5EF34D" w14:textId="77777777" w:rsidR="006674BB" w:rsidRPr="00183434" w:rsidRDefault="006674BB" w:rsidP="00183434">
      <w:pPr>
        <w:ind w:left="1440"/>
        <w:jc w:val="both"/>
        <w:rPr>
          <w:rFonts w:cs="Arial"/>
          <w:sz w:val="23"/>
          <w:szCs w:val="23"/>
        </w:rPr>
      </w:pPr>
      <w:r w:rsidRPr="00183434">
        <w:rPr>
          <w:rFonts w:cs="Arial"/>
          <w:sz w:val="23"/>
          <w:szCs w:val="23"/>
        </w:rPr>
        <w:t xml:space="preserve">The authority has reviewed its arrangements and concludes that it is acting as agent for the Town Deal. Income and expenditure </w:t>
      </w:r>
      <w:proofErr w:type="gramStart"/>
      <w:r w:rsidRPr="00183434">
        <w:rPr>
          <w:rFonts w:cs="Arial"/>
          <w:sz w:val="23"/>
          <w:szCs w:val="23"/>
        </w:rPr>
        <w:t>is</w:t>
      </w:r>
      <w:proofErr w:type="gramEnd"/>
      <w:r w:rsidRPr="00183434">
        <w:rPr>
          <w:rFonts w:cs="Arial"/>
          <w:sz w:val="23"/>
          <w:szCs w:val="23"/>
        </w:rPr>
        <w:t xml:space="preserve"> accounted and administered independently from the Council’s accounts </w:t>
      </w:r>
      <w:r w:rsidRPr="00183434">
        <w:rPr>
          <w:rFonts w:cs="Arial"/>
          <w:color w:val="000000"/>
          <w:sz w:val="23"/>
          <w:szCs w:val="23"/>
        </w:rPr>
        <w:t>with the exception in respect of cash collected or expenditure incurred by the agent on behalf of the principal, in which case there is a debtor or creditor position</w:t>
      </w:r>
      <w:r w:rsidRPr="00183434">
        <w:rPr>
          <w:rFonts w:cs="Arial"/>
          <w:sz w:val="23"/>
          <w:szCs w:val="23"/>
        </w:rPr>
        <w:t xml:space="preserve">. This is in accordance with the principles set out in the Local Authority Accounting Code of Practice where the Council is acting as an intermediary and is therefore following the agent principle as set out in section 2.6.2.1 of the Code. </w:t>
      </w:r>
    </w:p>
    <w:p w14:paraId="68A8AEB5" w14:textId="77777777" w:rsidR="006674BB" w:rsidRPr="00183434" w:rsidRDefault="006674BB" w:rsidP="00183434">
      <w:pPr>
        <w:jc w:val="both"/>
        <w:rPr>
          <w:rFonts w:cs="Arial"/>
          <w:sz w:val="23"/>
          <w:szCs w:val="23"/>
        </w:rPr>
      </w:pPr>
    </w:p>
    <w:p w14:paraId="2A433883" w14:textId="77777777" w:rsidR="006674BB" w:rsidRPr="00183434" w:rsidRDefault="006674BB" w:rsidP="00183434">
      <w:pPr>
        <w:jc w:val="both"/>
        <w:rPr>
          <w:rFonts w:cs="Arial"/>
          <w:sz w:val="23"/>
          <w:szCs w:val="23"/>
        </w:rPr>
      </w:pPr>
    </w:p>
    <w:p w14:paraId="6FDBBC80" w14:textId="77777777" w:rsidR="006674BB" w:rsidRPr="00183434" w:rsidRDefault="006674BB" w:rsidP="008F6EB0">
      <w:pPr>
        <w:ind w:left="720"/>
        <w:jc w:val="both"/>
        <w:rPr>
          <w:rFonts w:cs="Arial"/>
          <w:sz w:val="23"/>
          <w:szCs w:val="23"/>
        </w:rPr>
      </w:pPr>
      <w:r w:rsidRPr="00183434">
        <w:rPr>
          <w:rFonts w:cs="Arial"/>
          <w:sz w:val="23"/>
          <w:szCs w:val="23"/>
        </w:rPr>
        <w:t>In applying the accounting policies set out in Note 1, the Council has had to make certain judgements about complex transactions or those involving uncertainty about future events. The critical judgements made in the Statement of Accounts are provided as follows:</w:t>
      </w:r>
    </w:p>
    <w:p w14:paraId="5BDB5C35" w14:textId="77777777" w:rsidR="006674BB" w:rsidRPr="00183434" w:rsidRDefault="006674BB" w:rsidP="00183434">
      <w:pPr>
        <w:jc w:val="both"/>
        <w:rPr>
          <w:rFonts w:cs="Arial"/>
          <w:sz w:val="23"/>
          <w:szCs w:val="23"/>
        </w:rPr>
      </w:pPr>
    </w:p>
    <w:p w14:paraId="096D31B4" w14:textId="77777777" w:rsidR="006674BB" w:rsidRPr="00183434" w:rsidRDefault="006674BB" w:rsidP="008F6EB0">
      <w:pPr>
        <w:ind w:left="720"/>
        <w:jc w:val="both"/>
        <w:rPr>
          <w:rFonts w:cs="Arial"/>
          <w:sz w:val="23"/>
          <w:szCs w:val="23"/>
        </w:rPr>
      </w:pPr>
      <w:r w:rsidRPr="00183434">
        <w:rPr>
          <w:rFonts w:cs="Arial"/>
          <w:sz w:val="23"/>
          <w:szCs w:val="23"/>
        </w:rPr>
        <w:t xml:space="preserve">Future Funding for Local Government- There is an element of risk about future levels of funding for local government. However, the Council has determined that this uncertainty is not yet sufficient to provide an indication that the assets of the Council might be impaired </w:t>
      </w:r>
      <w:proofErr w:type="gramStart"/>
      <w:r w:rsidRPr="00183434">
        <w:rPr>
          <w:rFonts w:cs="Arial"/>
          <w:sz w:val="23"/>
          <w:szCs w:val="23"/>
        </w:rPr>
        <w:t>as a result of</w:t>
      </w:r>
      <w:proofErr w:type="gramEnd"/>
      <w:r w:rsidRPr="00183434">
        <w:rPr>
          <w:rFonts w:cs="Arial"/>
          <w:sz w:val="23"/>
          <w:szCs w:val="23"/>
        </w:rPr>
        <w:t xml:space="preserve"> a need to close facilities and reduce levels of service provision. In addition, the Council has made judgements about the adequacy of its balances and has also put in place processes to achieve savings that will mitigate or counteract any future changes in its levels of funding or other income.</w:t>
      </w:r>
    </w:p>
    <w:p w14:paraId="3D186EB4" w14:textId="77777777" w:rsidR="006674BB" w:rsidRPr="00183434" w:rsidRDefault="006674BB" w:rsidP="00183434">
      <w:pPr>
        <w:jc w:val="both"/>
        <w:rPr>
          <w:rFonts w:cs="Arial"/>
          <w:sz w:val="23"/>
          <w:szCs w:val="23"/>
        </w:rPr>
      </w:pPr>
    </w:p>
    <w:p w14:paraId="6D5BBE96" w14:textId="77777777" w:rsidR="006674BB" w:rsidRPr="00183434" w:rsidRDefault="006674BB" w:rsidP="008F6EB0">
      <w:pPr>
        <w:ind w:left="720"/>
        <w:jc w:val="both"/>
        <w:rPr>
          <w:rFonts w:cs="Arial"/>
          <w:sz w:val="23"/>
          <w:szCs w:val="23"/>
        </w:rPr>
      </w:pPr>
      <w:r w:rsidRPr="00183434">
        <w:rPr>
          <w:rFonts w:cs="Arial"/>
          <w:sz w:val="23"/>
          <w:szCs w:val="23"/>
        </w:rPr>
        <w:t xml:space="preserve">Asset Classifications - The Council has made judgements on whether assets are classified as Investment Property or Property, Plant and Equipment. These judgements are based on an understanding of the main purpose that the Council is holding the asset. If the asset is used in delivering services or is occupied by third parties who are subsidised by the Council, the asset is deemed to be Property, Plant and Equipment. A non-current asset used solely to earn rentals and/or for capital appreciation is classified as an Investment Property. The Council holds </w:t>
      </w:r>
      <w:r w:rsidRPr="00183434">
        <w:rPr>
          <w:rFonts w:cs="Arial"/>
          <w:sz w:val="23"/>
          <w:szCs w:val="23"/>
          <w:highlight w:val="cyan"/>
        </w:rPr>
        <w:t>xxxx</w:t>
      </w:r>
      <w:r w:rsidRPr="00183434">
        <w:rPr>
          <w:rFonts w:cs="Arial"/>
          <w:sz w:val="23"/>
          <w:szCs w:val="23"/>
        </w:rPr>
        <w:t xml:space="preserve"> properties classified as Investment Properties, as they are held solely to earn rentals and/or for capital appreciation.</w:t>
      </w:r>
    </w:p>
    <w:p w14:paraId="73AB8078" w14:textId="77777777" w:rsidR="006674BB" w:rsidRPr="00183434" w:rsidRDefault="006674BB" w:rsidP="00183434">
      <w:pPr>
        <w:jc w:val="both"/>
        <w:rPr>
          <w:rFonts w:cs="Arial"/>
          <w:sz w:val="23"/>
          <w:szCs w:val="23"/>
        </w:rPr>
      </w:pPr>
    </w:p>
    <w:p w14:paraId="156C5EBA" w14:textId="77777777" w:rsidR="006674BB" w:rsidRPr="00183434" w:rsidRDefault="006674BB" w:rsidP="008F6EB0">
      <w:pPr>
        <w:ind w:left="720"/>
        <w:jc w:val="both"/>
        <w:rPr>
          <w:rFonts w:cs="Arial"/>
          <w:sz w:val="23"/>
          <w:szCs w:val="23"/>
        </w:rPr>
      </w:pPr>
      <w:r w:rsidRPr="00183434">
        <w:rPr>
          <w:rFonts w:cs="Arial"/>
          <w:sz w:val="23"/>
          <w:szCs w:val="23"/>
        </w:rPr>
        <w:t xml:space="preserve">Property, Plant and Equipment - Non-current assets are depreciated over their useful lives that are dependent on assumptions about the level of repairs and maintenance that will be incurred in relation to them. If the useful life of a non-current asset is reduced, depreciation increases and the carrying amount of the non-current asset falls. Annual depreciation charge for buildings would increase proportionately for every year that an asset useful life </w:t>
      </w:r>
      <w:proofErr w:type="gramStart"/>
      <w:r w:rsidRPr="00183434">
        <w:rPr>
          <w:rFonts w:cs="Arial"/>
          <w:sz w:val="23"/>
          <w:szCs w:val="23"/>
        </w:rPr>
        <w:t>has to</w:t>
      </w:r>
      <w:proofErr w:type="gramEnd"/>
      <w:r w:rsidRPr="00183434">
        <w:rPr>
          <w:rFonts w:cs="Arial"/>
          <w:sz w:val="23"/>
          <w:szCs w:val="23"/>
        </w:rPr>
        <w:t xml:space="preserve"> be reduced.</w:t>
      </w:r>
    </w:p>
    <w:p w14:paraId="797AC508" w14:textId="77777777" w:rsidR="006674BB" w:rsidRPr="00183434" w:rsidRDefault="006674BB" w:rsidP="00183434">
      <w:pPr>
        <w:jc w:val="both"/>
        <w:rPr>
          <w:rFonts w:cs="Arial"/>
          <w:sz w:val="23"/>
          <w:szCs w:val="23"/>
        </w:rPr>
      </w:pPr>
    </w:p>
    <w:p w14:paraId="75E5BE56" w14:textId="77777777" w:rsidR="006674BB" w:rsidRPr="00183434" w:rsidRDefault="006674BB" w:rsidP="008F6EB0">
      <w:pPr>
        <w:ind w:left="720"/>
        <w:jc w:val="both"/>
        <w:rPr>
          <w:rFonts w:cs="Arial"/>
          <w:sz w:val="23"/>
          <w:szCs w:val="23"/>
        </w:rPr>
      </w:pPr>
      <w:r w:rsidRPr="00183434">
        <w:rPr>
          <w:rFonts w:cs="Arial"/>
          <w:sz w:val="23"/>
          <w:szCs w:val="23"/>
        </w:rPr>
        <w:t xml:space="preserve">Pensions - The Pension Fund Scheme actuaries have assessed the Council’s estimated future service costs less the estimated minimum funding requirement contributions to establish the economic benefit that is available to the Council. The net pensions asset has therefore been adjusted by the effect of the asset ceiling. The effect of the asset ceiling has been determined by the Scheme’s Actuary </w:t>
      </w:r>
      <w:proofErr w:type="gramStart"/>
      <w:r w:rsidRPr="00183434">
        <w:rPr>
          <w:rFonts w:cs="Arial"/>
          <w:sz w:val="23"/>
          <w:szCs w:val="23"/>
        </w:rPr>
        <w:t>on the basis of</w:t>
      </w:r>
      <w:proofErr w:type="gramEnd"/>
      <w:r w:rsidRPr="00183434">
        <w:rPr>
          <w:rFonts w:cs="Arial"/>
          <w:sz w:val="23"/>
          <w:szCs w:val="23"/>
        </w:rPr>
        <w:t xml:space="preserve"> the limitation on the Council’s ability to recover the full economic benefit of its assets through reductions in future employer’s contributions. This is because of the minimum funding requirement imposed on it by the Funding Strategy for the Scheme in place as </w:t>
      </w:r>
      <w:proofErr w:type="gramStart"/>
      <w:r w:rsidRPr="00183434">
        <w:rPr>
          <w:rFonts w:cs="Arial"/>
          <w:sz w:val="23"/>
          <w:szCs w:val="23"/>
        </w:rPr>
        <w:t>at</w:t>
      </w:r>
      <w:proofErr w:type="gramEnd"/>
      <w:r w:rsidRPr="00183434">
        <w:rPr>
          <w:rFonts w:cs="Arial"/>
          <w:sz w:val="23"/>
          <w:szCs w:val="23"/>
        </w:rPr>
        <w:t xml:space="preserve"> 31 March 2026. The details are included in Note 16 Defined Benefit Pension Scheme.</w:t>
      </w:r>
    </w:p>
    <w:p w14:paraId="09C3E1F5" w14:textId="77777777" w:rsidR="006674BB" w:rsidRPr="00183434" w:rsidRDefault="006674BB" w:rsidP="00183434">
      <w:pPr>
        <w:jc w:val="both"/>
        <w:rPr>
          <w:rFonts w:cs="Arial"/>
          <w:sz w:val="23"/>
          <w:szCs w:val="23"/>
        </w:rPr>
      </w:pPr>
    </w:p>
    <w:p w14:paraId="3AC01918" w14:textId="77777777" w:rsidR="006674BB" w:rsidRPr="00183434" w:rsidRDefault="006674BB" w:rsidP="008F6EB0">
      <w:pPr>
        <w:ind w:left="720"/>
        <w:jc w:val="both"/>
        <w:rPr>
          <w:rFonts w:cs="Arial"/>
          <w:sz w:val="23"/>
          <w:szCs w:val="23"/>
        </w:rPr>
      </w:pPr>
      <w:r w:rsidRPr="00183434">
        <w:rPr>
          <w:rFonts w:cs="Arial"/>
          <w:sz w:val="23"/>
          <w:szCs w:val="23"/>
        </w:rPr>
        <w:lastRenderedPageBreak/>
        <w:t>Potential Liabilities - The Council has made judgements about the likelihood of potential liabilities and whether a provision should be made. The judgements are based on the degree of certainty and an assessment of the likely impact.</w:t>
      </w:r>
    </w:p>
    <w:p w14:paraId="768F842F" w14:textId="77777777" w:rsidR="006674BB" w:rsidRPr="00183434" w:rsidRDefault="006674BB" w:rsidP="00183434">
      <w:pPr>
        <w:jc w:val="both"/>
        <w:rPr>
          <w:rFonts w:cs="Arial"/>
          <w:sz w:val="23"/>
          <w:szCs w:val="23"/>
        </w:rPr>
      </w:pPr>
    </w:p>
    <w:p w14:paraId="7ACEF070" w14:textId="79117A24" w:rsidR="006674BB" w:rsidRPr="00183434" w:rsidRDefault="006674BB" w:rsidP="008F6EB0">
      <w:pPr>
        <w:ind w:left="720"/>
        <w:jc w:val="both"/>
        <w:rPr>
          <w:rFonts w:cs="Arial"/>
          <w:sz w:val="23"/>
          <w:szCs w:val="23"/>
        </w:rPr>
      </w:pPr>
      <w:proofErr w:type="gramStart"/>
      <w:r w:rsidRPr="00183434">
        <w:rPr>
          <w:rFonts w:cs="Arial"/>
          <w:sz w:val="23"/>
          <w:szCs w:val="23"/>
        </w:rPr>
        <w:t>All of</w:t>
      </w:r>
      <w:proofErr w:type="gramEnd"/>
      <w:r w:rsidRPr="00183434">
        <w:rPr>
          <w:rFonts w:cs="Arial"/>
          <w:sz w:val="23"/>
          <w:szCs w:val="23"/>
        </w:rPr>
        <w:t xml:space="preserve"> these judgements are the responsibility of the Chief Financial Officer as set out in the Statement of Responsibilities for the Statement of Accounts</w:t>
      </w:r>
      <w:r w:rsidR="008F6EB0">
        <w:rPr>
          <w:rFonts w:cs="Arial"/>
          <w:sz w:val="23"/>
          <w:szCs w:val="23"/>
        </w:rPr>
        <w:t>.</w:t>
      </w:r>
    </w:p>
    <w:p w14:paraId="6C85883E" w14:textId="77777777" w:rsidR="006674BB" w:rsidRPr="00183434" w:rsidRDefault="006674BB" w:rsidP="00183434">
      <w:pPr>
        <w:jc w:val="both"/>
        <w:rPr>
          <w:rFonts w:cs="Arial"/>
          <w:sz w:val="23"/>
          <w:szCs w:val="23"/>
        </w:rPr>
      </w:pPr>
    </w:p>
    <w:p w14:paraId="666AD9FA" w14:textId="77777777" w:rsidR="00FA2FE5" w:rsidRPr="00183434" w:rsidRDefault="00FA2FE5" w:rsidP="00183434">
      <w:pPr>
        <w:jc w:val="both"/>
        <w:rPr>
          <w:rFonts w:cs="Arial"/>
          <w:sz w:val="23"/>
          <w:szCs w:val="23"/>
        </w:rPr>
      </w:pPr>
    </w:p>
    <w:p w14:paraId="4D32687C" w14:textId="77777777" w:rsidR="006674BB" w:rsidRPr="00183434" w:rsidRDefault="006674BB" w:rsidP="00183434">
      <w:pPr>
        <w:ind w:left="720" w:hanging="720"/>
        <w:jc w:val="both"/>
        <w:rPr>
          <w:rFonts w:cs="Arial"/>
          <w:b/>
          <w:sz w:val="23"/>
          <w:szCs w:val="23"/>
        </w:rPr>
      </w:pPr>
      <w:r w:rsidRPr="00183434">
        <w:rPr>
          <w:rFonts w:cs="Arial"/>
          <w:b/>
          <w:sz w:val="23"/>
          <w:szCs w:val="23"/>
        </w:rPr>
        <w:t>4.</w:t>
      </w:r>
      <w:r w:rsidRPr="00183434">
        <w:rPr>
          <w:rFonts w:cs="Arial"/>
          <w:b/>
          <w:sz w:val="23"/>
          <w:szCs w:val="23"/>
        </w:rPr>
        <w:tab/>
      </w:r>
      <w:r w:rsidRPr="00183434">
        <w:rPr>
          <w:rFonts w:cs="Arial"/>
          <w:b/>
          <w:sz w:val="23"/>
          <w:szCs w:val="23"/>
          <w:u w:val="single"/>
        </w:rPr>
        <w:t>ASSUMPTIONS MADE ABOUT THE FUTURE AND OTHER MAJOR SOURCES OF ESTIMATION UNCERTAINTY</w:t>
      </w:r>
    </w:p>
    <w:p w14:paraId="21DF38C3" w14:textId="77777777" w:rsidR="006674BB" w:rsidRPr="00183434" w:rsidRDefault="006674BB" w:rsidP="00183434">
      <w:pPr>
        <w:jc w:val="both"/>
        <w:rPr>
          <w:rFonts w:cs="Arial"/>
          <w:sz w:val="23"/>
          <w:szCs w:val="23"/>
        </w:rPr>
      </w:pPr>
    </w:p>
    <w:p w14:paraId="0B9150E8" w14:textId="77777777" w:rsidR="006674BB" w:rsidRPr="00183434" w:rsidRDefault="006674BB" w:rsidP="00183434">
      <w:pPr>
        <w:ind w:left="720"/>
        <w:jc w:val="both"/>
        <w:rPr>
          <w:rFonts w:cs="Arial"/>
          <w:sz w:val="23"/>
          <w:szCs w:val="23"/>
        </w:rPr>
      </w:pPr>
      <w:r w:rsidRPr="00183434">
        <w:rPr>
          <w:rFonts w:cs="Arial"/>
          <w:sz w:val="23"/>
          <w:szCs w:val="23"/>
        </w:rPr>
        <w:t xml:space="preserve">The Statement of Accounts contains estimated figures that are based on assumptions made by the Authority about the future or that are otherwise uncertain. Estimates are made </w:t>
      </w:r>
      <w:proofErr w:type="gramStart"/>
      <w:r w:rsidRPr="00183434">
        <w:rPr>
          <w:rFonts w:cs="Arial"/>
          <w:sz w:val="23"/>
          <w:szCs w:val="23"/>
        </w:rPr>
        <w:t>taking into account</w:t>
      </w:r>
      <w:proofErr w:type="gramEnd"/>
      <w:r w:rsidRPr="00183434">
        <w:rPr>
          <w:rFonts w:cs="Arial"/>
          <w:sz w:val="23"/>
          <w:szCs w:val="23"/>
        </w:rPr>
        <w:t xml:space="preserve"> historical experience, current trends and other relevant factors. However, because balances cannot be determined with certainty, actual results could be materially different from the assumptions and estimates.</w:t>
      </w:r>
    </w:p>
    <w:p w14:paraId="60D9935F" w14:textId="77777777" w:rsidR="006674BB" w:rsidRPr="00183434" w:rsidRDefault="006674BB" w:rsidP="00183434">
      <w:pPr>
        <w:ind w:left="720"/>
        <w:jc w:val="both"/>
        <w:rPr>
          <w:rFonts w:cs="Arial"/>
          <w:sz w:val="23"/>
          <w:szCs w:val="23"/>
        </w:rPr>
      </w:pPr>
    </w:p>
    <w:p w14:paraId="15F77B1B" w14:textId="77777777" w:rsidR="006674BB" w:rsidRPr="00183434" w:rsidRDefault="006674BB" w:rsidP="00183434">
      <w:pPr>
        <w:ind w:left="720"/>
        <w:jc w:val="both"/>
        <w:rPr>
          <w:rFonts w:cs="Arial"/>
          <w:sz w:val="23"/>
          <w:szCs w:val="23"/>
        </w:rPr>
      </w:pPr>
      <w:r w:rsidRPr="00183434">
        <w:rPr>
          <w:rFonts w:cs="Arial"/>
          <w:sz w:val="23"/>
          <w:szCs w:val="23"/>
        </w:rPr>
        <w:t xml:space="preserve">The items in the Balance Sheet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March 2026, for which there is a significant risk of material adjustment in the forthcoming year are as follows:</w:t>
      </w:r>
    </w:p>
    <w:p w14:paraId="523A7B3F" w14:textId="77777777" w:rsidR="006674BB" w:rsidRPr="00183434" w:rsidRDefault="006674BB" w:rsidP="00183434">
      <w:pPr>
        <w:ind w:left="720"/>
        <w:jc w:val="both"/>
        <w:rPr>
          <w:rFonts w:cs="Arial"/>
          <w:sz w:val="23"/>
          <w:szCs w:val="23"/>
          <w:highlight w:val="cyan"/>
        </w:rPr>
      </w:pPr>
    </w:p>
    <w:p w14:paraId="289701D2" w14:textId="77777777" w:rsidR="006674BB" w:rsidRPr="00183434" w:rsidRDefault="006674BB" w:rsidP="00183434">
      <w:pPr>
        <w:ind w:left="720"/>
        <w:jc w:val="both"/>
        <w:rPr>
          <w:rFonts w:cs="Arial"/>
          <w:sz w:val="23"/>
          <w:szCs w:val="23"/>
        </w:rPr>
      </w:pPr>
    </w:p>
    <w:p w14:paraId="442D9846" w14:textId="77777777" w:rsidR="006674BB" w:rsidRPr="00183434" w:rsidRDefault="006674BB" w:rsidP="00183434">
      <w:pPr>
        <w:ind w:left="720"/>
        <w:jc w:val="both"/>
        <w:rPr>
          <w:rFonts w:cs="Arial"/>
          <w:sz w:val="23"/>
          <w:szCs w:val="23"/>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4077"/>
        <w:gridCol w:w="2990"/>
      </w:tblGrid>
      <w:tr w:rsidR="006674BB" w:rsidRPr="00183434" w14:paraId="2FDB9C18" w14:textId="77777777" w:rsidTr="00674679">
        <w:tc>
          <w:tcPr>
            <w:tcW w:w="1316" w:type="dxa"/>
          </w:tcPr>
          <w:p w14:paraId="24379E1B" w14:textId="77777777" w:rsidR="006674BB" w:rsidRPr="00183434" w:rsidRDefault="006674BB" w:rsidP="00183434">
            <w:pPr>
              <w:jc w:val="both"/>
              <w:rPr>
                <w:rFonts w:cs="Arial"/>
                <w:sz w:val="23"/>
                <w:szCs w:val="23"/>
              </w:rPr>
            </w:pPr>
            <w:r w:rsidRPr="00183434">
              <w:rPr>
                <w:rFonts w:cs="Arial"/>
                <w:sz w:val="23"/>
                <w:szCs w:val="23"/>
              </w:rPr>
              <w:t>Item</w:t>
            </w:r>
          </w:p>
        </w:tc>
        <w:tc>
          <w:tcPr>
            <w:tcW w:w="4423" w:type="dxa"/>
          </w:tcPr>
          <w:p w14:paraId="04B94223" w14:textId="77777777" w:rsidR="006674BB" w:rsidRPr="00183434" w:rsidRDefault="006674BB" w:rsidP="00183434">
            <w:pPr>
              <w:jc w:val="both"/>
              <w:rPr>
                <w:rFonts w:cs="Arial"/>
                <w:sz w:val="23"/>
                <w:szCs w:val="23"/>
              </w:rPr>
            </w:pPr>
            <w:r w:rsidRPr="00183434">
              <w:rPr>
                <w:rFonts w:cs="Arial"/>
                <w:sz w:val="23"/>
                <w:szCs w:val="23"/>
              </w:rPr>
              <w:t>Uncertainties</w:t>
            </w:r>
          </w:p>
        </w:tc>
        <w:tc>
          <w:tcPr>
            <w:tcW w:w="3179" w:type="dxa"/>
          </w:tcPr>
          <w:p w14:paraId="522AE166" w14:textId="77777777" w:rsidR="006674BB" w:rsidRPr="00183434" w:rsidRDefault="006674BB" w:rsidP="00183434">
            <w:pPr>
              <w:jc w:val="both"/>
              <w:rPr>
                <w:rFonts w:cs="Arial"/>
                <w:sz w:val="23"/>
                <w:szCs w:val="23"/>
              </w:rPr>
            </w:pPr>
            <w:r w:rsidRPr="00183434">
              <w:rPr>
                <w:rFonts w:cs="Arial"/>
                <w:sz w:val="23"/>
                <w:szCs w:val="23"/>
              </w:rPr>
              <w:t xml:space="preserve">Effect if Actual Results Differ </w:t>
            </w:r>
          </w:p>
          <w:p w14:paraId="5215F818" w14:textId="77777777" w:rsidR="006674BB" w:rsidRPr="00183434" w:rsidRDefault="006674BB" w:rsidP="00183434">
            <w:pPr>
              <w:jc w:val="both"/>
              <w:rPr>
                <w:rFonts w:cs="Arial"/>
                <w:sz w:val="23"/>
                <w:szCs w:val="23"/>
              </w:rPr>
            </w:pPr>
            <w:r w:rsidRPr="00183434">
              <w:rPr>
                <w:rFonts w:cs="Arial"/>
                <w:sz w:val="23"/>
                <w:szCs w:val="23"/>
              </w:rPr>
              <w:t>From Assumptions</w:t>
            </w:r>
          </w:p>
        </w:tc>
      </w:tr>
      <w:tr w:rsidR="006674BB" w:rsidRPr="00183434" w14:paraId="17B4D2F1" w14:textId="77777777" w:rsidTr="00674679">
        <w:tc>
          <w:tcPr>
            <w:tcW w:w="1316" w:type="dxa"/>
          </w:tcPr>
          <w:p w14:paraId="1700035D" w14:textId="77777777" w:rsidR="006674BB" w:rsidRPr="00183434" w:rsidRDefault="006674BB" w:rsidP="00183434">
            <w:pPr>
              <w:jc w:val="both"/>
              <w:rPr>
                <w:rFonts w:cs="Arial"/>
                <w:sz w:val="23"/>
                <w:szCs w:val="23"/>
              </w:rPr>
            </w:pPr>
            <w:r w:rsidRPr="00183434">
              <w:rPr>
                <w:rFonts w:cs="Arial"/>
                <w:sz w:val="23"/>
                <w:szCs w:val="23"/>
              </w:rPr>
              <w:t>Pensions liability</w:t>
            </w:r>
          </w:p>
        </w:tc>
        <w:tc>
          <w:tcPr>
            <w:tcW w:w="4423" w:type="dxa"/>
          </w:tcPr>
          <w:p w14:paraId="768DB490" w14:textId="77777777" w:rsidR="006674BB" w:rsidRPr="00183434" w:rsidRDefault="006674BB" w:rsidP="00183434">
            <w:pPr>
              <w:jc w:val="both"/>
              <w:rPr>
                <w:rFonts w:cs="Arial"/>
                <w:sz w:val="23"/>
                <w:szCs w:val="23"/>
              </w:rPr>
            </w:pPr>
            <w:r w:rsidRPr="00183434">
              <w:rPr>
                <w:rFonts w:cs="Arial"/>
                <w:sz w:val="23"/>
                <w:szCs w:val="23"/>
              </w:rPr>
              <w:t xml:space="preserve">Estimation of the net liability to pay pensions depends on </w:t>
            </w:r>
            <w:proofErr w:type="gramStart"/>
            <w:r w:rsidRPr="00183434">
              <w:rPr>
                <w:rFonts w:cs="Arial"/>
                <w:sz w:val="23"/>
                <w:szCs w:val="23"/>
              </w:rPr>
              <w:t>a number of</w:t>
            </w:r>
            <w:proofErr w:type="gramEnd"/>
            <w:r w:rsidRPr="00183434">
              <w:rPr>
                <w:rFonts w:cs="Arial"/>
                <w:sz w:val="23"/>
                <w:szCs w:val="23"/>
              </w:rPr>
              <w:t xml:space="preserve"> complex judgements including mortality rates, expected return on fund assets and future salary rate increases. A firm of actuaries are engaged by the pension fund administrator to advice on the assumptions to be applied.</w:t>
            </w:r>
          </w:p>
        </w:tc>
        <w:tc>
          <w:tcPr>
            <w:tcW w:w="3179" w:type="dxa"/>
          </w:tcPr>
          <w:p w14:paraId="3554F7D7" w14:textId="3B5ED913" w:rsidR="006674BB" w:rsidRPr="00183434" w:rsidRDefault="006674BB" w:rsidP="00183434">
            <w:pPr>
              <w:jc w:val="both"/>
              <w:rPr>
                <w:rFonts w:cs="Arial"/>
                <w:sz w:val="23"/>
                <w:szCs w:val="23"/>
              </w:rPr>
            </w:pPr>
            <w:r w:rsidRPr="00183434">
              <w:rPr>
                <w:rFonts w:cs="Arial"/>
                <w:sz w:val="23"/>
                <w:szCs w:val="23"/>
              </w:rPr>
              <w:t>These assumptions interact in complex ways. During 2025/26, the actuaries advised that the net pensions liability had increased by £</w:t>
            </w:r>
            <w:r w:rsidR="00985055" w:rsidRPr="00183434">
              <w:rPr>
                <w:rFonts w:cs="Arial"/>
                <w:sz w:val="23"/>
                <w:szCs w:val="23"/>
              </w:rPr>
              <w:t>78.2</w:t>
            </w:r>
            <w:r w:rsidRPr="00183434">
              <w:rPr>
                <w:rFonts w:cs="Arial"/>
                <w:sz w:val="23"/>
                <w:szCs w:val="23"/>
              </w:rPr>
              <w:t>m because of changes in</w:t>
            </w:r>
            <w:r w:rsidR="00985055" w:rsidRPr="00183434">
              <w:rPr>
                <w:rFonts w:cs="Arial"/>
                <w:sz w:val="23"/>
                <w:szCs w:val="23"/>
              </w:rPr>
              <w:t xml:space="preserve"> the effect of the asset ceiling</w:t>
            </w:r>
            <w:r w:rsidRPr="00183434">
              <w:rPr>
                <w:rFonts w:cs="Arial"/>
                <w:sz w:val="23"/>
                <w:szCs w:val="23"/>
              </w:rPr>
              <w:t xml:space="preserve">. </w:t>
            </w:r>
          </w:p>
        </w:tc>
      </w:tr>
      <w:tr w:rsidR="006674BB" w:rsidRPr="00183434" w14:paraId="12E84BCA" w14:textId="77777777" w:rsidTr="00674679">
        <w:tc>
          <w:tcPr>
            <w:tcW w:w="1316" w:type="dxa"/>
          </w:tcPr>
          <w:p w14:paraId="0F0D273E" w14:textId="77777777" w:rsidR="006674BB" w:rsidRPr="00183434" w:rsidRDefault="006674BB" w:rsidP="00183434">
            <w:pPr>
              <w:jc w:val="both"/>
              <w:rPr>
                <w:rFonts w:cs="Arial"/>
                <w:sz w:val="23"/>
                <w:szCs w:val="23"/>
              </w:rPr>
            </w:pPr>
            <w:r w:rsidRPr="00183434">
              <w:rPr>
                <w:rFonts w:cs="Arial"/>
                <w:sz w:val="23"/>
                <w:szCs w:val="23"/>
              </w:rPr>
              <w:t>Arrears</w:t>
            </w:r>
          </w:p>
        </w:tc>
        <w:tc>
          <w:tcPr>
            <w:tcW w:w="4423" w:type="dxa"/>
          </w:tcPr>
          <w:p w14:paraId="06A73823" w14:textId="4B68FC03" w:rsidR="006674BB" w:rsidRPr="00183434" w:rsidRDefault="006674BB" w:rsidP="00183434">
            <w:pPr>
              <w:jc w:val="both"/>
              <w:rPr>
                <w:rFonts w:cs="Arial"/>
                <w:sz w:val="23"/>
                <w:szCs w:val="23"/>
              </w:rPr>
            </w:pP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March 2026, the Authority had a balance of </w:t>
            </w:r>
            <w:proofErr w:type="gramStart"/>
            <w:r w:rsidRPr="00183434">
              <w:rPr>
                <w:rFonts w:cs="Arial"/>
                <w:sz w:val="23"/>
                <w:szCs w:val="23"/>
              </w:rPr>
              <w:t>short term</w:t>
            </w:r>
            <w:proofErr w:type="gramEnd"/>
            <w:r w:rsidRPr="00183434">
              <w:rPr>
                <w:rFonts w:cs="Arial"/>
                <w:sz w:val="23"/>
                <w:szCs w:val="23"/>
              </w:rPr>
              <w:t xml:space="preserve"> debtors of £</w:t>
            </w:r>
            <w:r w:rsidR="00985055" w:rsidRPr="00183434">
              <w:rPr>
                <w:rFonts w:cs="Arial"/>
                <w:sz w:val="23"/>
                <w:szCs w:val="23"/>
              </w:rPr>
              <w:t>22.7</w:t>
            </w:r>
            <w:r w:rsidRPr="00183434">
              <w:rPr>
                <w:rFonts w:cs="Arial"/>
                <w:sz w:val="23"/>
                <w:szCs w:val="23"/>
              </w:rPr>
              <w:t>m. A review of significant balances based on age profile and likelihood of recovery, suggested that an impairment provision of £3.</w:t>
            </w:r>
            <w:r w:rsidR="00985055" w:rsidRPr="00183434">
              <w:rPr>
                <w:rFonts w:cs="Arial"/>
                <w:sz w:val="23"/>
                <w:szCs w:val="23"/>
              </w:rPr>
              <w:t>1</w:t>
            </w:r>
            <w:r w:rsidRPr="00183434">
              <w:rPr>
                <w:rFonts w:cs="Arial"/>
                <w:sz w:val="23"/>
                <w:szCs w:val="23"/>
              </w:rPr>
              <w:t>m was appropriate.</w:t>
            </w:r>
          </w:p>
        </w:tc>
        <w:tc>
          <w:tcPr>
            <w:tcW w:w="3179" w:type="dxa"/>
          </w:tcPr>
          <w:p w14:paraId="58215C8C" w14:textId="0A629651" w:rsidR="006674BB" w:rsidRPr="00183434" w:rsidRDefault="006674BB" w:rsidP="00183434">
            <w:pPr>
              <w:jc w:val="both"/>
              <w:rPr>
                <w:rFonts w:cs="Arial"/>
                <w:sz w:val="23"/>
                <w:szCs w:val="23"/>
              </w:rPr>
            </w:pPr>
            <w:r w:rsidRPr="00183434">
              <w:rPr>
                <w:rFonts w:cs="Arial"/>
                <w:sz w:val="23"/>
                <w:szCs w:val="23"/>
              </w:rPr>
              <w:t>If collection rates were to deteriorate, a 1% increase in the level of impairment provision would require an additional amount of £</w:t>
            </w:r>
            <w:r w:rsidR="00985055" w:rsidRPr="00183434">
              <w:rPr>
                <w:rFonts w:cs="Arial"/>
                <w:sz w:val="23"/>
                <w:szCs w:val="23"/>
              </w:rPr>
              <w:t>227</w:t>
            </w:r>
            <w:r w:rsidRPr="00183434">
              <w:rPr>
                <w:rFonts w:cs="Arial"/>
                <w:sz w:val="23"/>
                <w:szCs w:val="23"/>
              </w:rPr>
              <w:t>k to be found.</w:t>
            </w:r>
          </w:p>
        </w:tc>
      </w:tr>
      <w:tr w:rsidR="006674BB" w:rsidRPr="00183434" w14:paraId="23F266C4" w14:textId="77777777" w:rsidTr="00674679">
        <w:tc>
          <w:tcPr>
            <w:tcW w:w="1316" w:type="dxa"/>
          </w:tcPr>
          <w:p w14:paraId="74B0518E" w14:textId="77777777" w:rsidR="006674BB" w:rsidRPr="00183434" w:rsidRDefault="006674BB" w:rsidP="00183434">
            <w:pPr>
              <w:jc w:val="both"/>
              <w:rPr>
                <w:rFonts w:cs="Arial"/>
                <w:sz w:val="23"/>
                <w:szCs w:val="23"/>
              </w:rPr>
            </w:pPr>
            <w:r w:rsidRPr="00183434">
              <w:rPr>
                <w:rFonts w:cs="Arial"/>
                <w:sz w:val="23"/>
                <w:szCs w:val="23"/>
              </w:rPr>
              <w:t>Property, Plant &amp; Equipment</w:t>
            </w:r>
          </w:p>
        </w:tc>
        <w:tc>
          <w:tcPr>
            <w:tcW w:w="4423" w:type="dxa"/>
          </w:tcPr>
          <w:p w14:paraId="2B35B83D" w14:textId="77777777" w:rsidR="006674BB" w:rsidRPr="00183434" w:rsidRDefault="006674BB" w:rsidP="00183434">
            <w:pPr>
              <w:jc w:val="both"/>
              <w:rPr>
                <w:rFonts w:cs="Arial"/>
                <w:sz w:val="23"/>
                <w:szCs w:val="23"/>
              </w:rPr>
            </w:pPr>
            <w:r w:rsidRPr="00183434">
              <w:rPr>
                <w:rFonts w:cs="Arial"/>
                <w:sz w:val="23"/>
                <w:szCs w:val="23"/>
              </w:rPr>
              <w:t>Assets are depreciated over useful lives that are dependent on assumptions about the level of repairs and maintenance that will be incurred in relation to individual assets. The current economic climate makes it uncertain that this level of spending on repairs and maintenance can be sustained, bringing into doubt the useful lives assigned to assets.</w:t>
            </w:r>
          </w:p>
        </w:tc>
        <w:tc>
          <w:tcPr>
            <w:tcW w:w="3179" w:type="dxa"/>
          </w:tcPr>
          <w:p w14:paraId="46E9B52E" w14:textId="77777777" w:rsidR="006674BB" w:rsidRPr="00183434" w:rsidRDefault="006674BB" w:rsidP="00183434">
            <w:pPr>
              <w:jc w:val="both"/>
              <w:rPr>
                <w:rFonts w:cs="Arial"/>
                <w:sz w:val="23"/>
                <w:szCs w:val="23"/>
              </w:rPr>
            </w:pPr>
            <w:r w:rsidRPr="00183434">
              <w:rPr>
                <w:rFonts w:cs="Arial"/>
                <w:sz w:val="23"/>
                <w:szCs w:val="23"/>
              </w:rPr>
              <w:t xml:space="preserve">If the useful life of assets is reduced, depreciation increases and the carrying amount of the asset falls. </w:t>
            </w:r>
          </w:p>
          <w:p w14:paraId="0ED88852" w14:textId="50EF1791" w:rsidR="006674BB" w:rsidRPr="00183434" w:rsidRDefault="006674BB" w:rsidP="00183434">
            <w:pPr>
              <w:jc w:val="both"/>
              <w:rPr>
                <w:rFonts w:cs="Arial"/>
                <w:sz w:val="23"/>
                <w:szCs w:val="23"/>
              </w:rPr>
            </w:pPr>
            <w:r w:rsidRPr="00183434">
              <w:rPr>
                <w:rFonts w:cs="Arial"/>
                <w:sz w:val="23"/>
                <w:szCs w:val="23"/>
              </w:rPr>
              <w:t>It is estimated that the annual depreciation charge for buildings, including council houses, would increase by £</w:t>
            </w:r>
            <w:r w:rsidR="00A603B8" w:rsidRPr="00183434">
              <w:rPr>
                <w:rFonts w:cs="Arial"/>
                <w:sz w:val="23"/>
                <w:szCs w:val="23"/>
              </w:rPr>
              <w:t>0.553</w:t>
            </w:r>
            <w:r w:rsidRPr="00183434">
              <w:rPr>
                <w:rFonts w:cs="Arial"/>
                <w:sz w:val="23"/>
                <w:szCs w:val="23"/>
              </w:rPr>
              <w:t>m for every year that useful lives had to be reduced.</w:t>
            </w:r>
          </w:p>
        </w:tc>
      </w:tr>
      <w:tr w:rsidR="006674BB" w:rsidRPr="00183434" w14:paraId="5B57F665" w14:textId="77777777" w:rsidTr="00674679">
        <w:tc>
          <w:tcPr>
            <w:tcW w:w="1316" w:type="dxa"/>
          </w:tcPr>
          <w:p w14:paraId="255D30CA" w14:textId="77777777" w:rsidR="006674BB" w:rsidRPr="00183434" w:rsidRDefault="006674BB" w:rsidP="00183434">
            <w:pPr>
              <w:jc w:val="both"/>
              <w:rPr>
                <w:rFonts w:cs="Arial"/>
                <w:sz w:val="23"/>
                <w:szCs w:val="23"/>
              </w:rPr>
            </w:pPr>
            <w:r w:rsidRPr="00183434">
              <w:rPr>
                <w:rFonts w:cs="Arial"/>
                <w:sz w:val="23"/>
                <w:szCs w:val="23"/>
              </w:rPr>
              <w:t>Fair value measurement</w:t>
            </w:r>
          </w:p>
        </w:tc>
        <w:tc>
          <w:tcPr>
            <w:tcW w:w="4423" w:type="dxa"/>
          </w:tcPr>
          <w:p w14:paraId="03258915" w14:textId="77777777" w:rsidR="006674BB" w:rsidRPr="00183434" w:rsidRDefault="006674BB" w:rsidP="00183434">
            <w:pPr>
              <w:jc w:val="both"/>
              <w:rPr>
                <w:rFonts w:cs="Arial"/>
                <w:sz w:val="23"/>
                <w:szCs w:val="23"/>
              </w:rPr>
            </w:pPr>
            <w:r w:rsidRPr="00183434">
              <w:rPr>
                <w:rFonts w:cs="Arial"/>
                <w:sz w:val="23"/>
                <w:szCs w:val="23"/>
              </w:rPr>
              <w:t xml:space="preserve">When the fair value of financial assets and liabilities cannot be measured based on quoted prices in active </w:t>
            </w:r>
            <w:r w:rsidRPr="00183434">
              <w:rPr>
                <w:rFonts w:cs="Arial"/>
                <w:sz w:val="23"/>
                <w:szCs w:val="23"/>
              </w:rPr>
              <w:lastRenderedPageBreak/>
              <w:t>markets (Level 1 inputs), valuation techniques such as quoted prices for similar assets in active markets or discounted cash flow are used. Where possible, the inputs to the valuation are based on observable data, but where this is not possible, judgement is required in establishing fair values, including considerations such as uncertainty and risk. Changes in assumptions used could affect the fair value amount.</w:t>
            </w:r>
          </w:p>
          <w:p w14:paraId="520899FC" w14:textId="77777777" w:rsidR="006674BB" w:rsidRPr="00183434" w:rsidRDefault="006674BB" w:rsidP="00183434">
            <w:pPr>
              <w:jc w:val="both"/>
              <w:rPr>
                <w:rFonts w:cs="Arial"/>
                <w:sz w:val="23"/>
                <w:szCs w:val="23"/>
              </w:rPr>
            </w:pPr>
          </w:p>
          <w:p w14:paraId="2F082A99" w14:textId="77777777" w:rsidR="006674BB" w:rsidRPr="00183434" w:rsidRDefault="006674BB" w:rsidP="00183434">
            <w:pPr>
              <w:jc w:val="both"/>
              <w:rPr>
                <w:rFonts w:cs="Arial"/>
                <w:sz w:val="23"/>
                <w:szCs w:val="23"/>
              </w:rPr>
            </w:pPr>
            <w:r w:rsidRPr="00183434">
              <w:rPr>
                <w:rFonts w:cs="Arial"/>
                <w:sz w:val="23"/>
                <w:szCs w:val="23"/>
              </w:rPr>
              <w:t>Where Level 1 inputs are not available, the authority uses relevant experts to identify the most appropriate valuation technique to determine fair value. Information about the valuation techniques and inputs used in determining fair value is disclosed in the notes.</w:t>
            </w:r>
          </w:p>
        </w:tc>
        <w:tc>
          <w:tcPr>
            <w:tcW w:w="3179" w:type="dxa"/>
          </w:tcPr>
          <w:p w14:paraId="6756F616" w14:textId="77777777" w:rsidR="006674BB" w:rsidRPr="00183434" w:rsidRDefault="006674BB" w:rsidP="00183434">
            <w:pPr>
              <w:jc w:val="both"/>
              <w:rPr>
                <w:rFonts w:cs="Arial"/>
                <w:sz w:val="23"/>
                <w:szCs w:val="23"/>
              </w:rPr>
            </w:pPr>
            <w:r w:rsidRPr="00183434">
              <w:rPr>
                <w:rFonts w:cs="Arial"/>
                <w:sz w:val="23"/>
                <w:szCs w:val="23"/>
              </w:rPr>
              <w:lastRenderedPageBreak/>
              <w:t xml:space="preserve">The significant unobservable inputs used in the fair value </w:t>
            </w:r>
            <w:r w:rsidRPr="00183434">
              <w:rPr>
                <w:rFonts w:cs="Arial"/>
                <w:sz w:val="23"/>
                <w:szCs w:val="23"/>
              </w:rPr>
              <w:lastRenderedPageBreak/>
              <w:t>measurement include management assumptions regarding rent growth, vacancy levels (for investment properties) and discount rates, adjusted for regional factors, for investment properties and some financial assets.</w:t>
            </w:r>
          </w:p>
          <w:p w14:paraId="0E2BA747" w14:textId="77777777" w:rsidR="006674BB" w:rsidRPr="00183434" w:rsidRDefault="006674BB" w:rsidP="00183434">
            <w:pPr>
              <w:jc w:val="both"/>
              <w:rPr>
                <w:rFonts w:cs="Arial"/>
                <w:sz w:val="23"/>
                <w:szCs w:val="23"/>
              </w:rPr>
            </w:pPr>
          </w:p>
          <w:p w14:paraId="3BBCF6E1" w14:textId="77777777" w:rsidR="006674BB" w:rsidRPr="00183434" w:rsidRDefault="006674BB" w:rsidP="00183434">
            <w:pPr>
              <w:jc w:val="both"/>
              <w:rPr>
                <w:rFonts w:cs="Arial"/>
                <w:sz w:val="23"/>
                <w:szCs w:val="23"/>
              </w:rPr>
            </w:pPr>
            <w:r w:rsidRPr="00183434">
              <w:rPr>
                <w:rFonts w:cs="Arial"/>
                <w:sz w:val="23"/>
                <w:szCs w:val="23"/>
              </w:rPr>
              <w:t>Significant changes in any of the unobservable inputs would result in a significantly lower or higher fair value measurement.</w:t>
            </w:r>
          </w:p>
        </w:tc>
      </w:tr>
    </w:tbl>
    <w:p w14:paraId="589466AB" w14:textId="77777777" w:rsidR="006674BB" w:rsidRPr="00183434" w:rsidRDefault="006674BB" w:rsidP="00183434">
      <w:pPr>
        <w:ind w:left="720"/>
        <w:jc w:val="both"/>
        <w:rPr>
          <w:rFonts w:cs="Arial"/>
          <w:sz w:val="23"/>
          <w:szCs w:val="23"/>
        </w:rPr>
      </w:pPr>
    </w:p>
    <w:p w14:paraId="50339020" w14:textId="77777777" w:rsidR="006674BB" w:rsidRPr="00183434" w:rsidRDefault="006674BB" w:rsidP="00183434">
      <w:pPr>
        <w:jc w:val="both"/>
        <w:rPr>
          <w:rFonts w:cs="Arial"/>
          <w:sz w:val="23"/>
          <w:szCs w:val="23"/>
        </w:rPr>
      </w:pPr>
    </w:p>
    <w:p w14:paraId="300F1200" w14:textId="77777777" w:rsidR="006674BB" w:rsidRPr="00183434" w:rsidRDefault="006674BB" w:rsidP="00183434">
      <w:pPr>
        <w:jc w:val="both"/>
        <w:rPr>
          <w:rFonts w:cs="Arial"/>
          <w:sz w:val="23"/>
          <w:szCs w:val="23"/>
        </w:rPr>
      </w:pPr>
    </w:p>
    <w:p w14:paraId="2C394761" w14:textId="77777777" w:rsidR="0044318E" w:rsidRPr="00183434" w:rsidRDefault="0044318E" w:rsidP="00183434">
      <w:pPr>
        <w:jc w:val="both"/>
        <w:rPr>
          <w:rFonts w:cs="Arial"/>
          <w:sz w:val="23"/>
          <w:szCs w:val="23"/>
          <w:highlight w:val="cyan"/>
        </w:rPr>
      </w:pPr>
    </w:p>
    <w:p w14:paraId="69DF07C4" w14:textId="46D8B0DA" w:rsidR="00386757" w:rsidRPr="00183434" w:rsidRDefault="00386757" w:rsidP="00183434">
      <w:pPr>
        <w:tabs>
          <w:tab w:val="num" w:pos="709"/>
        </w:tabs>
        <w:jc w:val="both"/>
        <w:rPr>
          <w:rFonts w:cs="Arial"/>
          <w:b/>
          <w:sz w:val="23"/>
          <w:szCs w:val="23"/>
          <w:u w:val="single"/>
        </w:rPr>
      </w:pPr>
      <w:r w:rsidRPr="00183434">
        <w:rPr>
          <w:rFonts w:cs="Arial"/>
          <w:b/>
          <w:sz w:val="23"/>
          <w:szCs w:val="23"/>
        </w:rPr>
        <w:t xml:space="preserve">5.   </w:t>
      </w:r>
      <w:r w:rsidRPr="00183434">
        <w:rPr>
          <w:rFonts w:cs="Arial"/>
          <w:b/>
          <w:sz w:val="23"/>
          <w:szCs w:val="23"/>
        </w:rPr>
        <w:tab/>
      </w:r>
      <w:r w:rsidRPr="00183434">
        <w:rPr>
          <w:rFonts w:cs="Arial"/>
          <w:b/>
          <w:sz w:val="23"/>
          <w:szCs w:val="23"/>
          <w:u w:val="single"/>
        </w:rPr>
        <w:t>MATERIAL ITEMS OF INCOME AND EXPENSE</w:t>
      </w:r>
    </w:p>
    <w:p w14:paraId="2C39E922" w14:textId="77777777" w:rsidR="00386757" w:rsidRPr="00183434" w:rsidRDefault="00386757" w:rsidP="00183434">
      <w:pPr>
        <w:tabs>
          <w:tab w:val="num" w:pos="709"/>
        </w:tabs>
        <w:jc w:val="both"/>
        <w:rPr>
          <w:rFonts w:cs="Arial"/>
          <w:b/>
          <w:sz w:val="23"/>
          <w:szCs w:val="23"/>
        </w:rPr>
      </w:pPr>
    </w:p>
    <w:p w14:paraId="44B18BA7" w14:textId="5B2D4322" w:rsidR="00386757" w:rsidRPr="00183434" w:rsidRDefault="00386757" w:rsidP="00183434">
      <w:pPr>
        <w:tabs>
          <w:tab w:val="num" w:pos="709"/>
        </w:tabs>
        <w:ind w:left="709"/>
        <w:jc w:val="both"/>
        <w:rPr>
          <w:rFonts w:cs="Arial"/>
          <w:sz w:val="23"/>
          <w:szCs w:val="23"/>
        </w:rPr>
      </w:pPr>
      <w:r w:rsidRPr="00183434">
        <w:rPr>
          <w:rFonts w:cs="Arial"/>
          <w:sz w:val="23"/>
          <w:szCs w:val="23"/>
        </w:rPr>
        <w:t>The programme of capital expenditure on Council Hou</w:t>
      </w:r>
      <w:r w:rsidR="007C177F" w:rsidRPr="00183434">
        <w:rPr>
          <w:rFonts w:cs="Arial"/>
          <w:sz w:val="23"/>
          <w:szCs w:val="23"/>
        </w:rPr>
        <w:t xml:space="preserve">sing remained high at </w:t>
      </w:r>
      <w:r w:rsidR="005C1509" w:rsidRPr="00183434">
        <w:rPr>
          <w:rFonts w:cs="Arial"/>
          <w:sz w:val="23"/>
          <w:szCs w:val="23"/>
        </w:rPr>
        <w:t>£</w:t>
      </w:r>
      <w:r w:rsidR="00A603B8" w:rsidRPr="00183434">
        <w:rPr>
          <w:rFonts w:cs="Arial"/>
          <w:sz w:val="23"/>
          <w:szCs w:val="23"/>
        </w:rPr>
        <w:t>20.4</w:t>
      </w:r>
      <w:r w:rsidR="005C1509" w:rsidRPr="00183434">
        <w:rPr>
          <w:rFonts w:cs="Arial"/>
          <w:sz w:val="23"/>
          <w:szCs w:val="23"/>
        </w:rPr>
        <w:t>m in 20</w:t>
      </w:r>
      <w:r w:rsidR="00640D4E" w:rsidRPr="00183434">
        <w:rPr>
          <w:rFonts w:cs="Arial"/>
          <w:sz w:val="23"/>
          <w:szCs w:val="23"/>
        </w:rPr>
        <w:t>2</w:t>
      </w:r>
      <w:r w:rsidR="00AC07CE" w:rsidRPr="00183434">
        <w:rPr>
          <w:rFonts w:cs="Arial"/>
          <w:sz w:val="23"/>
          <w:szCs w:val="23"/>
        </w:rPr>
        <w:t>5</w:t>
      </w:r>
      <w:r w:rsidR="005C1509" w:rsidRPr="00183434">
        <w:rPr>
          <w:rFonts w:cs="Arial"/>
          <w:sz w:val="23"/>
          <w:szCs w:val="23"/>
        </w:rPr>
        <w:t>/</w:t>
      </w:r>
      <w:r w:rsidR="00443463" w:rsidRPr="00183434">
        <w:rPr>
          <w:rFonts w:cs="Arial"/>
          <w:sz w:val="23"/>
          <w:szCs w:val="23"/>
        </w:rPr>
        <w:t>2</w:t>
      </w:r>
      <w:r w:rsidR="00AC07CE" w:rsidRPr="00183434">
        <w:rPr>
          <w:rFonts w:cs="Arial"/>
          <w:sz w:val="23"/>
          <w:szCs w:val="23"/>
        </w:rPr>
        <w:t>6</w:t>
      </w:r>
      <w:r w:rsidRPr="00183434">
        <w:rPr>
          <w:rFonts w:cs="Arial"/>
          <w:sz w:val="23"/>
          <w:szCs w:val="23"/>
        </w:rPr>
        <w:t>. Th</w:t>
      </w:r>
      <w:r w:rsidR="007C177F" w:rsidRPr="00183434">
        <w:rPr>
          <w:rFonts w:cs="Arial"/>
          <w:sz w:val="23"/>
          <w:szCs w:val="23"/>
        </w:rPr>
        <w:t>is spending is aimed at maintaining dwellings at</w:t>
      </w:r>
      <w:r w:rsidRPr="00183434">
        <w:rPr>
          <w:rFonts w:cs="Arial"/>
          <w:sz w:val="23"/>
          <w:szCs w:val="23"/>
        </w:rPr>
        <w:t xml:space="preserve"> the decent </w:t>
      </w:r>
      <w:proofErr w:type="gramStart"/>
      <w:r w:rsidRPr="00183434">
        <w:rPr>
          <w:rFonts w:cs="Arial"/>
          <w:sz w:val="23"/>
          <w:szCs w:val="23"/>
        </w:rPr>
        <w:t>homes</w:t>
      </w:r>
      <w:proofErr w:type="gramEnd"/>
      <w:r w:rsidRPr="00183434">
        <w:rPr>
          <w:rFonts w:cs="Arial"/>
          <w:sz w:val="23"/>
          <w:szCs w:val="23"/>
        </w:rPr>
        <w:t xml:space="preserve"> standard. It is</w:t>
      </w:r>
      <w:r w:rsidR="0077112D" w:rsidRPr="00183434">
        <w:rPr>
          <w:rFonts w:cs="Arial"/>
          <w:sz w:val="23"/>
          <w:szCs w:val="23"/>
        </w:rPr>
        <w:t xml:space="preserve"> anticipated that this level of investment</w:t>
      </w:r>
      <w:r w:rsidRPr="00183434">
        <w:rPr>
          <w:rFonts w:cs="Arial"/>
          <w:sz w:val="23"/>
          <w:szCs w:val="23"/>
        </w:rPr>
        <w:t xml:space="preserve"> will continue </w:t>
      </w:r>
      <w:r w:rsidR="00FB61F1" w:rsidRPr="00183434">
        <w:rPr>
          <w:rFonts w:cs="Arial"/>
          <w:sz w:val="23"/>
          <w:szCs w:val="23"/>
        </w:rPr>
        <w:t>next</w:t>
      </w:r>
      <w:r w:rsidRPr="00183434">
        <w:rPr>
          <w:rFonts w:cs="Arial"/>
          <w:sz w:val="23"/>
          <w:szCs w:val="23"/>
        </w:rPr>
        <w:t xml:space="preserve"> year.</w:t>
      </w:r>
    </w:p>
    <w:p w14:paraId="6A475863" w14:textId="77777777" w:rsidR="008220FC" w:rsidRPr="00183434" w:rsidRDefault="008220FC" w:rsidP="00183434">
      <w:pPr>
        <w:tabs>
          <w:tab w:val="num" w:pos="709"/>
        </w:tabs>
        <w:ind w:left="709"/>
        <w:jc w:val="both"/>
        <w:rPr>
          <w:rFonts w:cs="Arial"/>
          <w:sz w:val="23"/>
          <w:szCs w:val="23"/>
          <w:highlight w:val="cyan"/>
        </w:rPr>
      </w:pPr>
    </w:p>
    <w:p w14:paraId="4E16BC2F" w14:textId="77777777" w:rsidR="00466E53" w:rsidRPr="00183434" w:rsidRDefault="00466E53" w:rsidP="00183434">
      <w:pPr>
        <w:tabs>
          <w:tab w:val="num" w:pos="709"/>
        </w:tabs>
        <w:ind w:left="709"/>
        <w:jc w:val="both"/>
        <w:rPr>
          <w:rFonts w:cs="Arial"/>
          <w:sz w:val="23"/>
          <w:szCs w:val="23"/>
          <w:highlight w:val="cyan"/>
        </w:rPr>
      </w:pPr>
    </w:p>
    <w:p w14:paraId="593E3854" w14:textId="77777777" w:rsidR="00CA12A6" w:rsidRPr="00183434" w:rsidRDefault="00CA12A6" w:rsidP="00183434">
      <w:pPr>
        <w:jc w:val="both"/>
        <w:rPr>
          <w:rFonts w:cs="Arial"/>
          <w:b/>
          <w:sz w:val="23"/>
          <w:szCs w:val="23"/>
          <w:highlight w:val="cyan"/>
          <w:u w:val="single"/>
        </w:rPr>
      </w:pPr>
    </w:p>
    <w:p w14:paraId="4303E5E0" w14:textId="77777777" w:rsidR="00386757" w:rsidRPr="00183434" w:rsidRDefault="00386757" w:rsidP="00183434">
      <w:pPr>
        <w:jc w:val="both"/>
        <w:rPr>
          <w:rFonts w:cs="Arial"/>
          <w:sz w:val="23"/>
          <w:szCs w:val="23"/>
        </w:rPr>
      </w:pPr>
      <w:r w:rsidRPr="00183434">
        <w:rPr>
          <w:rFonts w:cs="Arial"/>
          <w:b/>
          <w:sz w:val="23"/>
          <w:szCs w:val="23"/>
        </w:rPr>
        <w:t>6</w:t>
      </w:r>
      <w:r w:rsidRPr="00183434">
        <w:rPr>
          <w:rFonts w:cs="Arial"/>
          <w:sz w:val="23"/>
          <w:szCs w:val="23"/>
        </w:rPr>
        <w:t>.</w:t>
      </w:r>
      <w:r w:rsidRPr="00183434">
        <w:rPr>
          <w:rFonts w:cs="Arial"/>
          <w:sz w:val="23"/>
          <w:szCs w:val="23"/>
        </w:rPr>
        <w:tab/>
      </w:r>
      <w:r w:rsidRPr="00183434">
        <w:rPr>
          <w:rFonts w:cs="Arial"/>
          <w:b/>
          <w:sz w:val="23"/>
          <w:szCs w:val="23"/>
          <w:u w:val="single"/>
        </w:rPr>
        <w:t>EVENTS AFTER THE BALANCE SHEET DATE</w:t>
      </w:r>
      <w:r w:rsidRPr="00183434">
        <w:rPr>
          <w:rFonts w:cs="Arial"/>
          <w:sz w:val="23"/>
          <w:szCs w:val="23"/>
        </w:rPr>
        <w:tab/>
      </w:r>
    </w:p>
    <w:p w14:paraId="0796A9C8" w14:textId="77777777" w:rsidR="00386757" w:rsidRPr="00183434" w:rsidRDefault="00386757" w:rsidP="00183434">
      <w:pPr>
        <w:ind w:left="720"/>
        <w:jc w:val="both"/>
        <w:rPr>
          <w:rFonts w:cs="Arial"/>
          <w:sz w:val="23"/>
          <w:szCs w:val="23"/>
        </w:rPr>
      </w:pPr>
    </w:p>
    <w:p w14:paraId="39FC043F" w14:textId="20B657D3" w:rsidR="00386757" w:rsidRPr="00183434" w:rsidRDefault="00386757" w:rsidP="00183434">
      <w:pPr>
        <w:ind w:left="720"/>
        <w:jc w:val="both"/>
        <w:rPr>
          <w:rFonts w:cs="Arial"/>
          <w:sz w:val="23"/>
          <w:szCs w:val="23"/>
        </w:rPr>
      </w:pPr>
      <w:r w:rsidRPr="00183434">
        <w:rPr>
          <w:rFonts w:cs="Arial"/>
          <w:sz w:val="23"/>
          <w:szCs w:val="23"/>
        </w:rPr>
        <w:t xml:space="preserve">The statement of accounts was authorised for issue on </w:t>
      </w:r>
      <w:r w:rsidR="00A603B8" w:rsidRPr="00183434">
        <w:rPr>
          <w:rFonts w:cs="Arial"/>
          <w:sz w:val="23"/>
          <w:szCs w:val="23"/>
        </w:rPr>
        <w:t xml:space="preserve">30 June 2026 </w:t>
      </w:r>
      <w:r w:rsidR="00F967F4" w:rsidRPr="00183434">
        <w:rPr>
          <w:rFonts w:cs="Arial"/>
          <w:sz w:val="23"/>
          <w:szCs w:val="23"/>
        </w:rPr>
        <w:t xml:space="preserve">by the </w:t>
      </w:r>
      <w:r w:rsidR="00FB61F1" w:rsidRPr="00183434">
        <w:rPr>
          <w:rFonts w:cs="Arial"/>
          <w:sz w:val="23"/>
          <w:szCs w:val="23"/>
        </w:rPr>
        <w:t xml:space="preserve">Director </w:t>
      </w:r>
      <w:r w:rsidR="00027D1A" w:rsidRPr="00183434">
        <w:rPr>
          <w:rFonts w:cs="Arial"/>
          <w:sz w:val="23"/>
          <w:szCs w:val="23"/>
        </w:rPr>
        <w:t>of</w:t>
      </w:r>
      <w:r w:rsidR="00640D4E" w:rsidRPr="00183434">
        <w:rPr>
          <w:rFonts w:cs="Arial"/>
          <w:sz w:val="23"/>
          <w:szCs w:val="23"/>
        </w:rPr>
        <w:t xml:space="preserve"> Finance</w:t>
      </w:r>
      <w:r w:rsidR="00895365" w:rsidRPr="00183434">
        <w:rPr>
          <w:rFonts w:cs="Arial"/>
          <w:sz w:val="23"/>
          <w:szCs w:val="23"/>
        </w:rPr>
        <w:t xml:space="preserve">, </w:t>
      </w:r>
      <w:r w:rsidR="009F29D3" w:rsidRPr="00183434">
        <w:rPr>
          <w:rFonts w:cs="Arial"/>
          <w:sz w:val="23"/>
          <w:szCs w:val="23"/>
        </w:rPr>
        <w:t>Theresa Channell</w:t>
      </w:r>
      <w:r w:rsidR="00895365" w:rsidRPr="00183434">
        <w:rPr>
          <w:rFonts w:cs="Arial"/>
          <w:sz w:val="23"/>
          <w:szCs w:val="23"/>
        </w:rPr>
        <w:t xml:space="preserve"> </w:t>
      </w:r>
      <w:r w:rsidR="00C5704E" w:rsidRPr="00183434">
        <w:rPr>
          <w:rFonts w:cs="Arial"/>
          <w:sz w:val="23"/>
          <w:szCs w:val="23"/>
        </w:rPr>
        <w:t>F</w:t>
      </w:r>
      <w:r w:rsidR="00895365" w:rsidRPr="00183434">
        <w:rPr>
          <w:rFonts w:cs="Arial"/>
          <w:sz w:val="23"/>
          <w:szCs w:val="23"/>
        </w:rPr>
        <w:t>CPFA</w:t>
      </w:r>
      <w:r w:rsidRPr="00183434">
        <w:rPr>
          <w:rFonts w:cs="Arial"/>
          <w:sz w:val="23"/>
          <w:szCs w:val="23"/>
        </w:rPr>
        <w:t>. This is also the date up to which events after 31</w:t>
      </w:r>
      <w:r w:rsidRPr="00183434">
        <w:rPr>
          <w:rFonts w:cs="Arial"/>
          <w:sz w:val="23"/>
          <w:szCs w:val="23"/>
          <w:vertAlign w:val="superscript"/>
        </w:rPr>
        <w:t>st</w:t>
      </w:r>
      <w:r w:rsidR="007F45CB" w:rsidRPr="00183434">
        <w:rPr>
          <w:rFonts w:cs="Arial"/>
          <w:sz w:val="23"/>
          <w:szCs w:val="23"/>
        </w:rPr>
        <w:t xml:space="preserve"> March 20</w:t>
      </w:r>
      <w:r w:rsidR="006C2F66" w:rsidRPr="00183434">
        <w:rPr>
          <w:rFonts w:cs="Arial"/>
          <w:sz w:val="23"/>
          <w:szCs w:val="23"/>
        </w:rPr>
        <w:t>2</w:t>
      </w:r>
      <w:r w:rsidR="00AC07CE" w:rsidRPr="00183434">
        <w:rPr>
          <w:rFonts w:cs="Arial"/>
          <w:sz w:val="23"/>
          <w:szCs w:val="23"/>
        </w:rPr>
        <w:t>6</w:t>
      </w:r>
      <w:r w:rsidRPr="00183434">
        <w:rPr>
          <w:rFonts w:cs="Arial"/>
          <w:sz w:val="23"/>
          <w:szCs w:val="23"/>
        </w:rPr>
        <w:t xml:space="preserve"> have been considered.</w:t>
      </w:r>
    </w:p>
    <w:p w14:paraId="143BAD45" w14:textId="77777777" w:rsidR="00B7669A" w:rsidRPr="00183434" w:rsidRDefault="00B7669A" w:rsidP="00183434">
      <w:pPr>
        <w:jc w:val="both"/>
        <w:rPr>
          <w:rFonts w:cs="Arial"/>
          <w:sz w:val="23"/>
          <w:szCs w:val="23"/>
          <w:highlight w:val="cyan"/>
        </w:rPr>
      </w:pPr>
    </w:p>
    <w:p w14:paraId="5072F560" w14:textId="1AE6E2A9" w:rsidR="00A603B8" w:rsidRPr="00183434" w:rsidRDefault="00A603B8" w:rsidP="00183434">
      <w:pPr>
        <w:jc w:val="both"/>
        <w:rPr>
          <w:rFonts w:cs="Arial"/>
          <w:sz w:val="23"/>
          <w:szCs w:val="23"/>
          <w:highlight w:val="cyan"/>
        </w:rPr>
      </w:pPr>
      <w:r w:rsidRPr="00183434">
        <w:rPr>
          <w:rFonts w:cs="Arial"/>
          <w:sz w:val="23"/>
          <w:szCs w:val="23"/>
          <w:highlight w:val="cyan"/>
        </w:rPr>
        <w:br w:type="page"/>
      </w:r>
    </w:p>
    <w:p w14:paraId="26923E18" w14:textId="77777777" w:rsidR="008536AC" w:rsidRPr="00183434" w:rsidRDefault="008536AC" w:rsidP="00183434">
      <w:pPr>
        <w:jc w:val="both"/>
        <w:rPr>
          <w:rFonts w:cs="Arial"/>
          <w:sz w:val="23"/>
          <w:szCs w:val="23"/>
          <w:highlight w:val="cyan"/>
        </w:rPr>
      </w:pPr>
    </w:p>
    <w:p w14:paraId="653C3E63" w14:textId="77777777" w:rsidR="008536AC" w:rsidRPr="00183434" w:rsidRDefault="008536AC" w:rsidP="00183434">
      <w:pPr>
        <w:jc w:val="both"/>
        <w:rPr>
          <w:rFonts w:cs="Arial"/>
          <w:sz w:val="23"/>
          <w:szCs w:val="23"/>
        </w:rPr>
      </w:pPr>
      <w:r w:rsidRPr="00183434">
        <w:rPr>
          <w:rFonts w:cs="Arial"/>
          <w:b/>
          <w:sz w:val="23"/>
          <w:szCs w:val="23"/>
        </w:rPr>
        <w:t>7</w:t>
      </w:r>
      <w:r w:rsidRPr="00183434">
        <w:rPr>
          <w:rFonts w:cs="Arial"/>
          <w:sz w:val="23"/>
          <w:szCs w:val="23"/>
        </w:rPr>
        <w:t>.</w:t>
      </w:r>
      <w:r w:rsidRPr="00183434">
        <w:rPr>
          <w:rFonts w:cs="Arial"/>
          <w:sz w:val="23"/>
          <w:szCs w:val="23"/>
        </w:rPr>
        <w:tab/>
      </w:r>
      <w:r w:rsidRPr="00183434">
        <w:rPr>
          <w:rFonts w:cs="Arial"/>
          <w:b/>
          <w:sz w:val="23"/>
          <w:szCs w:val="23"/>
          <w:u w:val="single"/>
        </w:rPr>
        <w:t>EXPENDITURE AND FUNDING ANALYSIS</w:t>
      </w:r>
    </w:p>
    <w:p w14:paraId="533245FD" w14:textId="77777777" w:rsidR="008536AC" w:rsidRPr="00183434" w:rsidRDefault="008536AC" w:rsidP="00183434">
      <w:pPr>
        <w:pStyle w:val="Title"/>
        <w:jc w:val="both"/>
        <w:rPr>
          <w:rFonts w:cs="Arial"/>
          <w:sz w:val="23"/>
          <w:szCs w:val="23"/>
        </w:rPr>
      </w:pPr>
    </w:p>
    <w:p w14:paraId="4AB3D593" w14:textId="77777777" w:rsidR="008536AC" w:rsidRPr="00183434" w:rsidRDefault="008536AC" w:rsidP="00183434">
      <w:pPr>
        <w:pStyle w:val="Title"/>
        <w:ind w:left="720"/>
        <w:jc w:val="both"/>
        <w:rPr>
          <w:rFonts w:cs="Arial"/>
          <w:b w:val="0"/>
          <w:sz w:val="23"/>
          <w:szCs w:val="23"/>
          <w:u w:val="none"/>
        </w:rPr>
      </w:pPr>
      <w:r w:rsidRPr="00183434">
        <w:rPr>
          <w:rFonts w:cs="Arial"/>
          <w:b w:val="0"/>
          <w:sz w:val="23"/>
          <w:szCs w:val="23"/>
          <w:u w:val="none"/>
        </w:rPr>
        <w:t xml:space="preserve">The objective of the Expenditure and Funding Analysis is to demonstrate to council tax payers how the funding available to the authority (ie government grants, rents, council tax and business rates) for the year has been used in providing services in comparison with those resources consumed or earned by authorities in accordance with generally accepted accounting practices. </w:t>
      </w:r>
    </w:p>
    <w:p w14:paraId="701539FF" w14:textId="77777777" w:rsidR="008536AC" w:rsidRPr="00183434" w:rsidRDefault="008536AC" w:rsidP="00183434">
      <w:pPr>
        <w:pStyle w:val="Title"/>
        <w:jc w:val="both"/>
        <w:rPr>
          <w:rFonts w:cs="Arial"/>
          <w:b w:val="0"/>
          <w:sz w:val="23"/>
          <w:szCs w:val="23"/>
          <w:u w:val="none"/>
        </w:rPr>
      </w:pPr>
    </w:p>
    <w:p w14:paraId="795EE46B" w14:textId="77777777" w:rsidR="00180FA3" w:rsidRPr="00183434" w:rsidRDefault="008536AC" w:rsidP="00183434">
      <w:pPr>
        <w:pStyle w:val="Title"/>
        <w:ind w:left="720"/>
        <w:jc w:val="both"/>
        <w:rPr>
          <w:rFonts w:cs="Arial"/>
          <w:b w:val="0"/>
          <w:sz w:val="23"/>
          <w:szCs w:val="23"/>
          <w:u w:val="none"/>
        </w:rPr>
      </w:pPr>
      <w:r w:rsidRPr="00183434">
        <w:rPr>
          <w:rFonts w:cs="Arial"/>
          <w:b w:val="0"/>
          <w:sz w:val="23"/>
          <w:szCs w:val="23"/>
          <w:u w:val="none"/>
        </w:rPr>
        <w:t>It also shows how this expenditure is allocated for decision making purposes between the Council’s portfolios. Income and expenditure accounted for under generally accepted accounting practices is presented more fully in the Comprehensive Income &amp; Expenditure Statement.</w:t>
      </w:r>
    </w:p>
    <w:p w14:paraId="486DD595" w14:textId="77777777" w:rsidR="00C00D67" w:rsidRPr="00183434" w:rsidRDefault="00C00D67" w:rsidP="00183434">
      <w:pPr>
        <w:pStyle w:val="Title"/>
        <w:jc w:val="both"/>
        <w:rPr>
          <w:rFonts w:cs="Arial"/>
          <w:b w:val="0"/>
          <w:sz w:val="23"/>
          <w:szCs w:val="23"/>
          <w:u w:val="none"/>
        </w:rPr>
      </w:pPr>
    </w:p>
    <w:p w14:paraId="38A78095" w14:textId="3E1E8659" w:rsidR="00611FF3" w:rsidRPr="00183434" w:rsidRDefault="00611FF3" w:rsidP="00183434">
      <w:pPr>
        <w:jc w:val="both"/>
        <w:rPr>
          <w:rFonts w:cs="Arial"/>
          <w:sz w:val="23"/>
          <w:szCs w:val="23"/>
          <w:highlight w:val="cyan"/>
        </w:rPr>
      </w:pPr>
      <w:r w:rsidRPr="00183434">
        <w:rPr>
          <w:rFonts w:cs="Arial"/>
          <w:b/>
          <w:sz w:val="23"/>
          <w:szCs w:val="23"/>
          <w:highlight w:val="cyan"/>
        </w:rPr>
        <w:br w:type="page"/>
      </w:r>
    </w:p>
    <w:p w14:paraId="3414DE52" w14:textId="77777777" w:rsidR="0044318E" w:rsidRPr="00183434" w:rsidRDefault="0044318E" w:rsidP="00183434">
      <w:pPr>
        <w:pStyle w:val="Title"/>
        <w:jc w:val="both"/>
        <w:rPr>
          <w:rFonts w:cs="Arial"/>
          <w:b w:val="0"/>
          <w:sz w:val="23"/>
          <w:szCs w:val="23"/>
          <w:highlight w:val="cyan"/>
          <w:u w:val="none"/>
        </w:rPr>
      </w:pPr>
    </w:p>
    <w:p w14:paraId="54297A96" w14:textId="1490B844" w:rsidR="008536AC" w:rsidRPr="00183434" w:rsidRDefault="008536AC" w:rsidP="00183434">
      <w:pPr>
        <w:pStyle w:val="Title"/>
        <w:jc w:val="both"/>
        <w:rPr>
          <w:rFonts w:cs="Arial"/>
          <w:sz w:val="23"/>
          <w:szCs w:val="23"/>
        </w:rPr>
      </w:pPr>
      <w:r w:rsidRPr="00183434">
        <w:rPr>
          <w:rFonts w:cs="Arial"/>
          <w:sz w:val="23"/>
          <w:szCs w:val="23"/>
        </w:rPr>
        <w:t>Expenditure &amp; Funding Analysis</w:t>
      </w:r>
    </w:p>
    <w:p w14:paraId="56509F83" w14:textId="77777777" w:rsidR="008536AC" w:rsidRPr="00183434" w:rsidRDefault="008536AC" w:rsidP="00183434">
      <w:pPr>
        <w:pStyle w:val="Title"/>
        <w:jc w:val="both"/>
        <w:rPr>
          <w:rFonts w:cs="Arial"/>
          <w:b w:val="0"/>
          <w:sz w:val="23"/>
          <w:szCs w:val="23"/>
          <w:u w:val="none"/>
        </w:rPr>
      </w:pPr>
    </w:p>
    <w:p w14:paraId="6E044851" w14:textId="77777777" w:rsidR="008536AC" w:rsidRPr="00183434" w:rsidRDefault="008536AC" w:rsidP="00183434">
      <w:pPr>
        <w:pStyle w:val="Title"/>
        <w:jc w:val="both"/>
        <w:rPr>
          <w:rFonts w:cs="Arial"/>
          <w:b w:val="0"/>
          <w:sz w:val="23"/>
          <w:szCs w:val="23"/>
          <w:u w:val="none"/>
        </w:rPr>
      </w:pPr>
    </w:p>
    <w:p w14:paraId="35574290" w14:textId="07911B80" w:rsidR="008536AC" w:rsidRPr="00183434" w:rsidRDefault="00A61A6A" w:rsidP="00183434">
      <w:pPr>
        <w:pStyle w:val="Title"/>
        <w:ind w:left="-284" w:firstLine="284"/>
        <w:jc w:val="both"/>
        <w:rPr>
          <w:rFonts w:cs="Arial"/>
          <w:b w:val="0"/>
          <w:sz w:val="23"/>
          <w:szCs w:val="23"/>
          <w:u w:val="none"/>
        </w:rPr>
      </w:pPr>
      <w:r w:rsidRPr="00183434">
        <w:rPr>
          <w:rFonts w:cs="Arial"/>
          <w:b w:val="0"/>
          <w:sz w:val="23"/>
          <w:szCs w:val="23"/>
          <w:u w:val="none"/>
        </w:rPr>
        <w:object w:dxaOrig="12280" w:dyaOrig="9490" w14:anchorId="45764A40">
          <v:shape id="_x0000_i1030" type="#_x0000_t75" style="width:474.05pt;height:366.35pt" o:ole="">
            <v:imagedata r:id="rId26" o:title=""/>
          </v:shape>
          <o:OLEObject Type="Link" ProgID="Excel.Sheet.12" ShapeID="_x0000_i1030" DrawAspect="Content" r:id="rId27" UpdateMode="Always">
            <o:LinkType>EnhancedMetaFile</o:LinkType>
            <o:LockedField>false</o:LockedField>
            <o:FieldCodes>\* MERGEFORMAT</o:FieldCodes>
          </o:OLEObject>
        </w:object>
      </w:r>
    </w:p>
    <w:p w14:paraId="6FA160F5" w14:textId="77777777" w:rsidR="008536AC" w:rsidRPr="00183434" w:rsidRDefault="008536AC" w:rsidP="00183434">
      <w:pPr>
        <w:jc w:val="both"/>
        <w:rPr>
          <w:rFonts w:cs="Arial"/>
          <w:sz w:val="23"/>
          <w:szCs w:val="23"/>
          <w:highlight w:val="cyan"/>
        </w:rPr>
      </w:pPr>
    </w:p>
    <w:p w14:paraId="42B09FF2" w14:textId="77777777" w:rsidR="00621E98" w:rsidRPr="00183434" w:rsidRDefault="00621E98" w:rsidP="00183434">
      <w:pPr>
        <w:jc w:val="both"/>
        <w:rPr>
          <w:rFonts w:cs="Arial"/>
          <w:b/>
          <w:sz w:val="23"/>
          <w:szCs w:val="23"/>
          <w:highlight w:val="cyan"/>
        </w:rPr>
      </w:pPr>
      <w:r w:rsidRPr="00183434">
        <w:rPr>
          <w:rFonts w:cs="Arial"/>
          <w:b/>
          <w:sz w:val="23"/>
          <w:szCs w:val="23"/>
          <w:highlight w:val="cyan"/>
        </w:rPr>
        <w:br w:type="page"/>
      </w:r>
    </w:p>
    <w:p w14:paraId="27524DF2" w14:textId="568B8D17" w:rsidR="00681BF3" w:rsidRPr="00183434" w:rsidRDefault="00646352" w:rsidP="00183434">
      <w:pPr>
        <w:ind w:left="720" w:hanging="720"/>
        <w:jc w:val="both"/>
        <w:rPr>
          <w:rFonts w:cs="Arial"/>
          <w:b/>
          <w:sz w:val="23"/>
          <w:szCs w:val="23"/>
          <w:u w:val="single"/>
        </w:rPr>
      </w:pPr>
      <w:r w:rsidRPr="00183434">
        <w:rPr>
          <w:rFonts w:cs="Arial"/>
          <w:b/>
          <w:sz w:val="23"/>
          <w:szCs w:val="23"/>
        </w:rPr>
        <w:lastRenderedPageBreak/>
        <w:t>7</w:t>
      </w:r>
      <w:r w:rsidR="008536AC" w:rsidRPr="00183434">
        <w:rPr>
          <w:rFonts w:cs="Arial"/>
          <w:b/>
          <w:sz w:val="23"/>
          <w:szCs w:val="23"/>
        </w:rPr>
        <w:t>A</w:t>
      </w:r>
      <w:r w:rsidRPr="00183434">
        <w:rPr>
          <w:rFonts w:cs="Arial"/>
          <w:sz w:val="23"/>
          <w:szCs w:val="23"/>
        </w:rPr>
        <w:t>.</w:t>
      </w:r>
      <w:r w:rsidRPr="00183434">
        <w:rPr>
          <w:rFonts w:cs="Arial"/>
          <w:sz w:val="23"/>
          <w:szCs w:val="23"/>
        </w:rPr>
        <w:tab/>
      </w:r>
      <w:r w:rsidRPr="00183434">
        <w:rPr>
          <w:rFonts w:cs="Arial"/>
          <w:b/>
          <w:sz w:val="23"/>
          <w:szCs w:val="23"/>
          <w:u w:val="single"/>
        </w:rPr>
        <w:t>NOTE TO THE EXPENDITURE AND FUNDING ANALYSIS</w:t>
      </w:r>
      <w:r w:rsidR="00681BF3" w:rsidRPr="00183434">
        <w:rPr>
          <w:rFonts w:cs="Arial"/>
          <w:b/>
          <w:sz w:val="23"/>
          <w:szCs w:val="23"/>
          <w:u w:val="single"/>
        </w:rPr>
        <w:t>: ADJUSTMENTS BETWEEN ACCOUNTING BASIS &amp; FUNDING BASIS</w:t>
      </w:r>
    </w:p>
    <w:p w14:paraId="1B850932" w14:textId="77777777" w:rsidR="00681BF3" w:rsidRPr="00183434" w:rsidRDefault="00681BF3" w:rsidP="00183434">
      <w:pPr>
        <w:jc w:val="both"/>
        <w:rPr>
          <w:rFonts w:cs="Arial"/>
          <w:b/>
          <w:sz w:val="23"/>
          <w:szCs w:val="23"/>
          <w:u w:val="single"/>
        </w:rPr>
      </w:pPr>
    </w:p>
    <w:p w14:paraId="59BE7331" w14:textId="77777777" w:rsidR="00AC4F00" w:rsidRPr="00183434" w:rsidRDefault="00681BF3" w:rsidP="00183434">
      <w:pPr>
        <w:jc w:val="both"/>
        <w:rPr>
          <w:rFonts w:cs="Arial"/>
          <w:b/>
          <w:sz w:val="23"/>
          <w:szCs w:val="23"/>
        </w:rPr>
      </w:pPr>
      <w:r w:rsidRPr="00183434">
        <w:rPr>
          <w:rFonts w:cs="Arial"/>
          <w:b/>
          <w:sz w:val="23"/>
          <w:szCs w:val="23"/>
        </w:rPr>
        <w:tab/>
      </w:r>
      <w:r w:rsidRPr="00183434">
        <w:rPr>
          <w:rFonts w:cs="Arial"/>
          <w:sz w:val="23"/>
          <w:szCs w:val="23"/>
        </w:rPr>
        <w:t>The note below shows the difference between the accounting basis and funding basis.</w:t>
      </w:r>
    </w:p>
    <w:p w14:paraId="51ABC0AB" w14:textId="77777777" w:rsidR="008108EC" w:rsidRPr="00183434" w:rsidRDefault="008108EC" w:rsidP="00183434">
      <w:pPr>
        <w:jc w:val="both"/>
        <w:rPr>
          <w:rFonts w:cs="Arial"/>
          <w:sz w:val="23"/>
          <w:szCs w:val="23"/>
          <w:highlight w:val="cyan"/>
        </w:rPr>
      </w:pPr>
    </w:p>
    <w:p w14:paraId="450B438D" w14:textId="2ED380C6" w:rsidR="00B95457" w:rsidRPr="00183434" w:rsidRDefault="007F45CB" w:rsidP="00183434">
      <w:pPr>
        <w:jc w:val="both"/>
        <w:rPr>
          <w:rFonts w:cs="Arial"/>
          <w:sz w:val="23"/>
          <w:szCs w:val="23"/>
        </w:rPr>
      </w:pPr>
      <w:r w:rsidRPr="00183434">
        <w:rPr>
          <w:rFonts w:cs="Arial"/>
          <w:sz w:val="23"/>
          <w:szCs w:val="23"/>
        </w:rPr>
        <w:tab/>
      </w:r>
      <w:r w:rsidR="00AD7862">
        <w:rPr>
          <w:rFonts w:cs="Arial"/>
          <w:sz w:val="23"/>
          <w:szCs w:val="23"/>
        </w:rPr>
        <w:object w:dxaOrig="9564" w:dyaOrig="11035" w14:anchorId="03000613">
          <v:shape id="_x0000_i1489" type="#_x0000_t75" style="width:478.1pt;height:551.8pt" o:ole="">
            <v:imagedata r:id="rId28" o:title=""/>
          </v:shape>
          <o:OLEObject Type="Link" ProgID="Excel.Sheet.12" ShapeID="_x0000_i1489" DrawAspect="Content" r:id="rId29" UpdateMode="Always">
            <o:LinkType>EnhancedMetaFile</o:LinkType>
            <o:LockedField>false</o:LockedField>
          </o:OLEObject>
        </w:object>
      </w:r>
    </w:p>
    <w:p w14:paraId="5C2B537C" w14:textId="77777777" w:rsidR="00030D84" w:rsidRDefault="00030D84" w:rsidP="00183434">
      <w:pPr>
        <w:jc w:val="both"/>
        <w:rPr>
          <w:rFonts w:cs="Arial"/>
          <w:sz w:val="23"/>
          <w:szCs w:val="23"/>
        </w:rPr>
      </w:pPr>
    </w:p>
    <w:p w14:paraId="583710A4" w14:textId="77777777" w:rsidR="00AD7862" w:rsidRPr="00183434" w:rsidRDefault="00AD7862" w:rsidP="00183434">
      <w:pPr>
        <w:jc w:val="both"/>
        <w:rPr>
          <w:rFonts w:cs="Arial"/>
          <w:sz w:val="23"/>
          <w:szCs w:val="23"/>
        </w:rPr>
      </w:pPr>
    </w:p>
    <w:p w14:paraId="052E9F08" w14:textId="61DA8D6D" w:rsidR="008108EC" w:rsidRPr="00183434" w:rsidRDefault="008108EC" w:rsidP="00183434">
      <w:pPr>
        <w:jc w:val="both"/>
        <w:rPr>
          <w:rFonts w:cs="Arial"/>
          <w:b/>
          <w:sz w:val="23"/>
          <w:szCs w:val="23"/>
        </w:rPr>
      </w:pPr>
    </w:p>
    <w:p w14:paraId="6897A75B" w14:textId="77777777" w:rsidR="00AE5495" w:rsidRPr="00183434" w:rsidRDefault="00AE5495" w:rsidP="00183434">
      <w:pPr>
        <w:jc w:val="both"/>
        <w:rPr>
          <w:rFonts w:cs="Arial"/>
          <w:sz w:val="23"/>
          <w:szCs w:val="23"/>
          <w:highlight w:val="cyan"/>
          <w:u w:val="single"/>
        </w:rPr>
      </w:pPr>
    </w:p>
    <w:p w14:paraId="1CFC49C5" w14:textId="77777777" w:rsidR="00662383" w:rsidRPr="00183434" w:rsidRDefault="00662383" w:rsidP="00183434">
      <w:pPr>
        <w:jc w:val="both"/>
        <w:rPr>
          <w:rFonts w:cs="Arial"/>
          <w:sz w:val="23"/>
          <w:szCs w:val="23"/>
          <w:highlight w:val="cyan"/>
          <w:u w:val="single"/>
        </w:rPr>
      </w:pPr>
    </w:p>
    <w:p w14:paraId="15A6B9C6" w14:textId="77777777" w:rsidR="00662383" w:rsidRPr="00183434" w:rsidRDefault="00662383" w:rsidP="00183434">
      <w:pPr>
        <w:jc w:val="both"/>
        <w:rPr>
          <w:rFonts w:cs="Arial"/>
          <w:sz w:val="23"/>
          <w:szCs w:val="23"/>
          <w:highlight w:val="cyan"/>
          <w:u w:val="single"/>
        </w:rPr>
      </w:pPr>
    </w:p>
    <w:p w14:paraId="3831A50A" w14:textId="77777777" w:rsidR="00662383" w:rsidRPr="00183434" w:rsidRDefault="00662383" w:rsidP="00183434">
      <w:pPr>
        <w:jc w:val="both"/>
        <w:rPr>
          <w:rFonts w:cs="Arial"/>
          <w:sz w:val="23"/>
          <w:szCs w:val="23"/>
          <w:highlight w:val="cyan"/>
          <w:u w:val="single"/>
        </w:rPr>
      </w:pPr>
    </w:p>
    <w:p w14:paraId="71FAAE41" w14:textId="28E00950" w:rsidR="00990617" w:rsidRPr="00183434" w:rsidRDefault="00990617" w:rsidP="00183434">
      <w:pPr>
        <w:jc w:val="both"/>
        <w:rPr>
          <w:rFonts w:cs="Arial"/>
          <w:sz w:val="23"/>
          <w:szCs w:val="23"/>
          <w:u w:val="single"/>
        </w:rPr>
      </w:pPr>
      <w:r w:rsidRPr="00183434">
        <w:rPr>
          <w:rFonts w:cs="Arial"/>
          <w:sz w:val="23"/>
          <w:szCs w:val="23"/>
          <w:u w:val="single"/>
        </w:rPr>
        <w:lastRenderedPageBreak/>
        <w:t>Adjustments for Capital Purposes</w:t>
      </w:r>
    </w:p>
    <w:p w14:paraId="38FBEEA5" w14:textId="77777777" w:rsidR="00990617" w:rsidRPr="00183434" w:rsidRDefault="00990617" w:rsidP="00183434">
      <w:pPr>
        <w:jc w:val="both"/>
        <w:rPr>
          <w:rFonts w:cs="Arial"/>
          <w:sz w:val="23"/>
          <w:szCs w:val="23"/>
        </w:rPr>
      </w:pPr>
    </w:p>
    <w:p w14:paraId="33FF13AC" w14:textId="77777777" w:rsidR="00990617" w:rsidRPr="00183434" w:rsidRDefault="00990617" w:rsidP="00183434">
      <w:pPr>
        <w:ind w:left="720"/>
        <w:jc w:val="both"/>
        <w:rPr>
          <w:rFonts w:cs="Arial"/>
          <w:sz w:val="23"/>
          <w:szCs w:val="23"/>
        </w:rPr>
      </w:pPr>
      <w:r w:rsidRPr="00183434">
        <w:rPr>
          <w:rFonts w:cs="Arial"/>
          <w:sz w:val="23"/>
          <w:szCs w:val="23"/>
        </w:rPr>
        <w:t>Adjustments for capital purposes – this column adds in depreciation and impairment</w:t>
      </w:r>
      <w:r w:rsidR="00690256" w:rsidRPr="00183434">
        <w:rPr>
          <w:rFonts w:cs="Arial"/>
          <w:sz w:val="23"/>
          <w:szCs w:val="23"/>
        </w:rPr>
        <w:t xml:space="preserve"> </w:t>
      </w:r>
      <w:r w:rsidRPr="00183434">
        <w:rPr>
          <w:rFonts w:cs="Arial"/>
          <w:sz w:val="23"/>
          <w:szCs w:val="23"/>
        </w:rPr>
        <w:t>and revaluation gains and losses in the service line, and for:</w:t>
      </w:r>
    </w:p>
    <w:p w14:paraId="5BA27E41" w14:textId="77777777" w:rsidR="00690256" w:rsidRPr="00183434" w:rsidRDefault="00690256" w:rsidP="00183434">
      <w:pPr>
        <w:ind w:left="720"/>
        <w:jc w:val="both"/>
        <w:rPr>
          <w:rFonts w:cs="Arial"/>
          <w:sz w:val="23"/>
          <w:szCs w:val="23"/>
        </w:rPr>
      </w:pPr>
    </w:p>
    <w:p w14:paraId="03D27C7A" w14:textId="77777777" w:rsidR="00990617" w:rsidRPr="00183434" w:rsidRDefault="00990617" w:rsidP="00183434">
      <w:pPr>
        <w:numPr>
          <w:ilvl w:val="0"/>
          <w:numId w:val="34"/>
        </w:numPr>
        <w:jc w:val="both"/>
        <w:rPr>
          <w:rFonts w:cs="Arial"/>
          <w:sz w:val="23"/>
          <w:szCs w:val="23"/>
        </w:rPr>
      </w:pPr>
      <w:r w:rsidRPr="00183434">
        <w:rPr>
          <w:rFonts w:cs="Arial"/>
          <w:b/>
          <w:sz w:val="23"/>
          <w:szCs w:val="23"/>
        </w:rPr>
        <w:t>Other operating expenditure</w:t>
      </w:r>
      <w:r w:rsidRPr="00183434">
        <w:rPr>
          <w:rFonts w:cs="Arial"/>
          <w:sz w:val="23"/>
          <w:szCs w:val="23"/>
        </w:rPr>
        <w:t xml:space="preserve"> – adjusts for capital disposals with a transfer of income on disposal of assets and the amounts written off for those assets.</w:t>
      </w:r>
    </w:p>
    <w:p w14:paraId="3CFE0746" w14:textId="77777777" w:rsidR="00690256" w:rsidRPr="00183434" w:rsidRDefault="00690256" w:rsidP="00183434">
      <w:pPr>
        <w:ind w:left="1440"/>
        <w:jc w:val="both"/>
        <w:rPr>
          <w:rFonts w:cs="Arial"/>
          <w:sz w:val="23"/>
          <w:szCs w:val="23"/>
        </w:rPr>
      </w:pPr>
    </w:p>
    <w:p w14:paraId="7869CFAF" w14:textId="77777777" w:rsidR="00990617" w:rsidRPr="00183434" w:rsidRDefault="00990617" w:rsidP="00183434">
      <w:pPr>
        <w:numPr>
          <w:ilvl w:val="0"/>
          <w:numId w:val="34"/>
        </w:numPr>
        <w:jc w:val="both"/>
        <w:rPr>
          <w:rFonts w:cs="Arial"/>
          <w:sz w:val="23"/>
          <w:szCs w:val="23"/>
        </w:rPr>
      </w:pPr>
      <w:r w:rsidRPr="00183434">
        <w:rPr>
          <w:rFonts w:cs="Arial"/>
          <w:b/>
          <w:sz w:val="23"/>
          <w:szCs w:val="23"/>
        </w:rPr>
        <w:t>Financing and investment income and expenditure</w:t>
      </w:r>
      <w:r w:rsidRPr="00183434">
        <w:rPr>
          <w:rFonts w:cs="Arial"/>
          <w:sz w:val="23"/>
          <w:szCs w:val="23"/>
        </w:rPr>
        <w:t xml:space="preserve"> – the statutory charges for capital financ</w:t>
      </w:r>
      <w:r w:rsidR="00681BF3" w:rsidRPr="00183434">
        <w:rPr>
          <w:rFonts w:cs="Arial"/>
          <w:sz w:val="23"/>
          <w:szCs w:val="23"/>
        </w:rPr>
        <w:t>ing i.e. Minimum Revenue P</w:t>
      </w:r>
      <w:r w:rsidRPr="00183434">
        <w:rPr>
          <w:rFonts w:cs="Arial"/>
          <w:sz w:val="23"/>
          <w:szCs w:val="23"/>
        </w:rPr>
        <w:t>rovision and other revenue contributions are deducted from other income and expen</w:t>
      </w:r>
      <w:r w:rsidR="00690256" w:rsidRPr="00183434">
        <w:rPr>
          <w:rFonts w:cs="Arial"/>
          <w:sz w:val="23"/>
          <w:szCs w:val="23"/>
        </w:rPr>
        <w:t>diture as these are not chargeable under generally accepted accounting practices.</w:t>
      </w:r>
    </w:p>
    <w:p w14:paraId="0E5162D0" w14:textId="77777777" w:rsidR="00690256" w:rsidRPr="00183434" w:rsidRDefault="00690256" w:rsidP="00183434">
      <w:pPr>
        <w:jc w:val="both"/>
        <w:rPr>
          <w:rFonts w:cs="Arial"/>
          <w:sz w:val="23"/>
          <w:szCs w:val="23"/>
        </w:rPr>
      </w:pPr>
    </w:p>
    <w:p w14:paraId="63489150" w14:textId="77777777" w:rsidR="002360A5" w:rsidRPr="00183434" w:rsidRDefault="00690256" w:rsidP="00183434">
      <w:pPr>
        <w:numPr>
          <w:ilvl w:val="0"/>
          <w:numId w:val="34"/>
        </w:numPr>
        <w:jc w:val="both"/>
        <w:rPr>
          <w:rFonts w:cs="Arial"/>
          <w:sz w:val="23"/>
          <w:szCs w:val="23"/>
        </w:rPr>
      </w:pPr>
      <w:r w:rsidRPr="00183434">
        <w:rPr>
          <w:rFonts w:cs="Arial"/>
          <w:b/>
          <w:sz w:val="23"/>
          <w:szCs w:val="23"/>
        </w:rPr>
        <w:t>Taxation and non-specific grant income and expenditure</w:t>
      </w:r>
      <w:r w:rsidRPr="00183434">
        <w:rPr>
          <w:rFonts w:cs="Arial"/>
          <w:sz w:val="23"/>
          <w:szCs w:val="23"/>
        </w:rPr>
        <w:t xml:space="preserve"> – capital grants are adjusted for income not chargeable under generally accepted accounting practices. Revenue grants are adjusted from </w:t>
      </w:r>
      <w:proofErr w:type="gramStart"/>
      <w:r w:rsidRPr="00183434">
        <w:rPr>
          <w:rFonts w:cs="Arial"/>
          <w:sz w:val="23"/>
          <w:szCs w:val="23"/>
        </w:rPr>
        <w:t>those receivable</w:t>
      </w:r>
      <w:proofErr w:type="gramEnd"/>
      <w:r w:rsidRPr="00183434">
        <w:rPr>
          <w:rFonts w:cs="Arial"/>
          <w:sz w:val="23"/>
          <w:szCs w:val="23"/>
        </w:rPr>
        <w:t xml:space="preserve"> in the year to </w:t>
      </w:r>
      <w:proofErr w:type="gramStart"/>
      <w:r w:rsidRPr="00183434">
        <w:rPr>
          <w:rFonts w:cs="Arial"/>
          <w:sz w:val="23"/>
          <w:szCs w:val="23"/>
        </w:rPr>
        <w:t>those receivable</w:t>
      </w:r>
      <w:proofErr w:type="gramEnd"/>
      <w:r w:rsidRPr="00183434">
        <w:rPr>
          <w:rFonts w:cs="Arial"/>
          <w:sz w:val="23"/>
          <w:szCs w:val="23"/>
        </w:rPr>
        <w:t xml:space="preserve"> without conditions or for which conditions were satisfied during the year. It also includes capital grants receivable in the year without conditions or for which conditions were satisfied in the year.</w:t>
      </w:r>
    </w:p>
    <w:p w14:paraId="71FB9C66" w14:textId="77777777" w:rsidR="005A0A55" w:rsidRPr="00183434" w:rsidRDefault="005A0A55" w:rsidP="00183434">
      <w:pPr>
        <w:jc w:val="both"/>
        <w:rPr>
          <w:rFonts w:cs="Arial"/>
          <w:sz w:val="23"/>
          <w:szCs w:val="23"/>
        </w:rPr>
      </w:pPr>
    </w:p>
    <w:p w14:paraId="5CABFC4D" w14:textId="77777777" w:rsidR="00AE5495" w:rsidRPr="00183434" w:rsidRDefault="00AE5495" w:rsidP="00183434">
      <w:pPr>
        <w:jc w:val="both"/>
        <w:rPr>
          <w:rFonts w:cs="Arial"/>
          <w:sz w:val="23"/>
          <w:szCs w:val="23"/>
        </w:rPr>
      </w:pPr>
    </w:p>
    <w:p w14:paraId="4CFAEA91" w14:textId="77777777" w:rsidR="002360A5" w:rsidRPr="00183434" w:rsidRDefault="002360A5" w:rsidP="00183434">
      <w:pPr>
        <w:ind w:left="720"/>
        <w:jc w:val="both"/>
        <w:rPr>
          <w:rFonts w:cs="Arial"/>
          <w:sz w:val="23"/>
          <w:szCs w:val="23"/>
          <w:u w:val="single"/>
        </w:rPr>
      </w:pPr>
      <w:r w:rsidRPr="00183434">
        <w:rPr>
          <w:rFonts w:cs="Arial"/>
          <w:sz w:val="23"/>
          <w:szCs w:val="23"/>
          <w:u w:val="single"/>
        </w:rPr>
        <w:t>Net Change for Pension Adjustments</w:t>
      </w:r>
    </w:p>
    <w:p w14:paraId="51059949" w14:textId="77777777" w:rsidR="002360A5" w:rsidRPr="00183434" w:rsidRDefault="002360A5" w:rsidP="00183434">
      <w:pPr>
        <w:ind w:left="720"/>
        <w:jc w:val="both"/>
        <w:rPr>
          <w:rFonts w:cs="Arial"/>
          <w:sz w:val="23"/>
          <w:szCs w:val="23"/>
        </w:rPr>
      </w:pPr>
    </w:p>
    <w:p w14:paraId="5ED672D7" w14:textId="77777777" w:rsidR="002360A5" w:rsidRPr="00183434" w:rsidRDefault="002360A5" w:rsidP="00183434">
      <w:pPr>
        <w:ind w:left="720"/>
        <w:jc w:val="both"/>
        <w:rPr>
          <w:rFonts w:cs="Arial"/>
          <w:sz w:val="23"/>
          <w:szCs w:val="23"/>
        </w:rPr>
      </w:pPr>
      <w:r w:rsidRPr="00183434">
        <w:rPr>
          <w:rFonts w:cs="Arial"/>
          <w:sz w:val="23"/>
          <w:szCs w:val="23"/>
        </w:rPr>
        <w:t>Net change for the removal of pension contributions and the addition of IAS 19 Employee Benefits pension related expenditure and income:</w:t>
      </w:r>
    </w:p>
    <w:p w14:paraId="64007C78" w14:textId="77777777" w:rsidR="002360A5" w:rsidRPr="00183434" w:rsidRDefault="002360A5" w:rsidP="00183434">
      <w:pPr>
        <w:ind w:left="720"/>
        <w:jc w:val="both"/>
        <w:rPr>
          <w:rFonts w:cs="Arial"/>
          <w:sz w:val="23"/>
          <w:szCs w:val="23"/>
        </w:rPr>
      </w:pPr>
    </w:p>
    <w:p w14:paraId="01B3E3AF" w14:textId="77777777" w:rsidR="002360A5" w:rsidRPr="00183434" w:rsidRDefault="002360A5" w:rsidP="00183434">
      <w:pPr>
        <w:numPr>
          <w:ilvl w:val="0"/>
          <w:numId w:val="35"/>
        </w:numPr>
        <w:jc w:val="both"/>
        <w:rPr>
          <w:rFonts w:cs="Arial"/>
          <w:sz w:val="23"/>
          <w:szCs w:val="23"/>
        </w:rPr>
      </w:pPr>
      <w:r w:rsidRPr="00183434">
        <w:rPr>
          <w:rFonts w:cs="Arial"/>
          <w:b/>
          <w:sz w:val="23"/>
          <w:szCs w:val="23"/>
        </w:rPr>
        <w:t xml:space="preserve">For services </w:t>
      </w:r>
      <w:r w:rsidRPr="00183434">
        <w:rPr>
          <w:rFonts w:cs="Arial"/>
          <w:sz w:val="23"/>
          <w:szCs w:val="23"/>
        </w:rPr>
        <w:t>– this represents the removal of the employer contributions made by the authority as allowed by statute and the replacement with current service costs and past service costs.</w:t>
      </w:r>
    </w:p>
    <w:p w14:paraId="6D326D1D" w14:textId="77777777" w:rsidR="002360A5" w:rsidRPr="00183434" w:rsidRDefault="002360A5" w:rsidP="00183434">
      <w:pPr>
        <w:ind w:left="1440"/>
        <w:jc w:val="both"/>
        <w:rPr>
          <w:rFonts w:cs="Arial"/>
          <w:sz w:val="23"/>
          <w:szCs w:val="23"/>
        </w:rPr>
      </w:pPr>
    </w:p>
    <w:p w14:paraId="4290E8C0" w14:textId="77777777" w:rsidR="005A0A55" w:rsidRPr="00183434" w:rsidRDefault="002360A5" w:rsidP="00183434">
      <w:pPr>
        <w:numPr>
          <w:ilvl w:val="0"/>
          <w:numId w:val="35"/>
        </w:numPr>
        <w:jc w:val="both"/>
        <w:rPr>
          <w:rFonts w:cs="Arial"/>
          <w:sz w:val="23"/>
          <w:szCs w:val="23"/>
        </w:rPr>
      </w:pPr>
      <w:r w:rsidRPr="00183434">
        <w:rPr>
          <w:rFonts w:cs="Arial"/>
          <w:b/>
          <w:sz w:val="23"/>
          <w:szCs w:val="23"/>
        </w:rPr>
        <w:t>For financing and investment income and expenditure</w:t>
      </w:r>
      <w:r w:rsidRPr="00183434">
        <w:rPr>
          <w:rFonts w:cs="Arial"/>
          <w:sz w:val="23"/>
          <w:szCs w:val="23"/>
        </w:rPr>
        <w:t xml:space="preserve"> – the net interest on the defined benefit liability is charged to the CIES.</w:t>
      </w:r>
    </w:p>
    <w:p w14:paraId="7B8EB8AF" w14:textId="77777777" w:rsidR="00992E81" w:rsidRPr="00183434" w:rsidRDefault="00992E81" w:rsidP="00183434">
      <w:pPr>
        <w:ind w:left="720"/>
        <w:jc w:val="both"/>
        <w:rPr>
          <w:rFonts w:cs="Arial"/>
          <w:sz w:val="23"/>
          <w:szCs w:val="23"/>
          <w:u w:val="single"/>
        </w:rPr>
      </w:pPr>
    </w:p>
    <w:p w14:paraId="2D500065" w14:textId="77777777" w:rsidR="0081772D" w:rsidRPr="00183434" w:rsidRDefault="0081772D" w:rsidP="00183434">
      <w:pPr>
        <w:ind w:left="720"/>
        <w:jc w:val="both"/>
        <w:rPr>
          <w:rFonts w:cs="Arial"/>
          <w:sz w:val="23"/>
          <w:szCs w:val="23"/>
          <w:u w:val="single"/>
        </w:rPr>
      </w:pPr>
      <w:r w:rsidRPr="00183434">
        <w:rPr>
          <w:rFonts w:cs="Arial"/>
          <w:sz w:val="23"/>
          <w:szCs w:val="23"/>
          <w:u w:val="single"/>
        </w:rPr>
        <w:t>Other Differences</w:t>
      </w:r>
    </w:p>
    <w:p w14:paraId="712BEF0A" w14:textId="77777777" w:rsidR="0081772D" w:rsidRPr="00183434" w:rsidRDefault="0081772D" w:rsidP="00183434">
      <w:pPr>
        <w:ind w:left="720"/>
        <w:jc w:val="both"/>
        <w:rPr>
          <w:rFonts w:cs="Arial"/>
          <w:sz w:val="23"/>
          <w:szCs w:val="23"/>
        </w:rPr>
      </w:pPr>
    </w:p>
    <w:p w14:paraId="3D7E565B" w14:textId="77777777" w:rsidR="0081772D" w:rsidRPr="00183434" w:rsidRDefault="0081772D" w:rsidP="00183434">
      <w:pPr>
        <w:ind w:left="720"/>
        <w:jc w:val="both"/>
        <w:rPr>
          <w:rFonts w:cs="Arial"/>
          <w:sz w:val="23"/>
          <w:szCs w:val="23"/>
        </w:rPr>
      </w:pPr>
      <w:r w:rsidRPr="00183434">
        <w:rPr>
          <w:rFonts w:cs="Arial"/>
          <w:sz w:val="23"/>
          <w:szCs w:val="23"/>
        </w:rPr>
        <w:t>Other differences between amounts debited/credited to the CIES and amounts payable/receivable to be recognised under statute:</w:t>
      </w:r>
    </w:p>
    <w:p w14:paraId="32C3C77D" w14:textId="77777777" w:rsidR="007E4372" w:rsidRPr="00183434" w:rsidRDefault="007E4372" w:rsidP="00183434">
      <w:pPr>
        <w:ind w:left="720"/>
        <w:jc w:val="both"/>
        <w:rPr>
          <w:rFonts w:cs="Arial"/>
          <w:sz w:val="23"/>
          <w:szCs w:val="23"/>
        </w:rPr>
      </w:pPr>
    </w:p>
    <w:p w14:paraId="1BC8C581" w14:textId="77777777" w:rsidR="0081772D" w:rsidRPr="00183434" w:rsidRDefault="007E4372" w:rsidP="00183434">
      <w:pPr>
        <w:numPr>
          <w:ilvl w:val="0"/>
          <w:numId w:val="36"/>
        </w:numPr>
        <w:jc w:val="both"/>
        <w:rPr>
          <w:rFonts w:cs="Arial"/>
          <w:sz w:val="23"/>
          <w:szCs w:val="23"/>
        </w:rPr>
      </w:pPr>
      <w:r w:rsidRPr="00183434">
        <w:rPr>
          <w:rFonts w:cs="Arial"/>
          <w:b/>
          <w:sz w:val="23"/>
          <w:szCs w:val="23"/>
        </w:rPr>
        <w:t>For financing and investment income and expenditure</w:t>
      </w:r>
      <w:r w:rsidRPr="00183434">
        <w:rPr>
          <w:rFonts w:cs="Arial"/>
          <w:sz w:val="23"/>
          <w:szCs w:val="23"/>
        </w:rPr>
        <w:t xml:space="preserve"> – recognises adjustments to the General Fund for the timing differences for premiums and discounts</w:t>
      </w:r>
    </w:p>
    <w:p w14:paraId="004D9718" w14:textId="77777777" w:rsidR="007E4372" w:rsidRPr="00183434" w:rsidRDefault="007E4372" w:rsidP="00183434">
      <w:pPr>
        <w:ind w:left="1440"/>
        <w:jc w:val="both"/>
        <w:rPr>
          <w:rFonts w:cs="Arial"/>
          <w:b/>
          <w:sz w:val="23"/>
          <w:szCs w:val="23"/>
        </w:rPr>
      </w:pPr>
    </w:p>
    <w:p w14:paraId="3BAA3428" w14:textId="77777777" w:rsidR="007E4372" w:rsidRPr="00183434" w:rsidRDefault="007E4372" w:rsidP="00183434">
      <w:pPr>
        <w:numPr>
          <w:ilvl w:val="0"/>
          <w:numId w:val="36"/>
        </w:numPr>
        <w:jc w:val="both"/>
        <w:rPr>
          <w:rFonts w:cs="Arial"/>
          <w:sz w:val="23"/>
          <w:szCs w:val="23"/>
        </w:rPr>
      </w:pPr>
      <w:r w:rsidRPr="00183434">
        <w:rPr>
          <w:rFonts w:cs="Arial"/>
          <w:b/>
          <w:sz w:val="23"/>
          <w:szCs w:val="23"/>
        </w:rPr>
        <w:t>For taxation and non-specific grant income and expenditure</w:t>
      </w:r>
      <w:r w:rsidRPr="00183434">
        <w:rPr>
          <w:rFonts w:cs="Arial"/>
          <w:sz w:val="23"/>
          <w:szCs w:val="23"/>
        </w:rPr>
        <w:t xml:space="preserve"> – represents the differences between what is chargeable under statutory regulations for council tax and business rate income that was projected to be received at the start of the year and the income recognised under generally accepted accounting practices in the Code. This is a timing difference as any difference will be included in future surplus/deficit on the Collection Fund. </w:t>
      </w:r>
    </w:p>
    <w:p w14:paraId="0B9FC478" w14:textId="77777777" w:rsidR="00690256" w:rsidRPr="00183434" w:rsidRDefault="00690256" w:rsidP="00183434">
      <w:pPr>
        <w:jc w:val="both"/>
        <w:rPr>
          <w:rFonts w:cs="Arial"/>
          <w:sz w:val="23"/>
          <w:szCs w:val="23"/>
        </w:rPr>
      </w:pPr>
    </w:p>
    <w:p w14:paraId="0B40DA9B" w14:textId="77777777" w:rsidR="00AE5495" w:rsidRPr="00183434" w:rsidRDefault="00AE5495" w:rsidP="00183434">
      <w:pPr>
        <w:jc w:val="both"/>
        <w:rPr>
          <w:rFonts w:cs="Arial"/>
          <w:sz w:val="23"/>
          <w:szCs w:val="23"/>
          <w:highlight w:val="cyan"/>
        </w:rPr>
      </w:pPr>
    </w:p>
    <w:p w14:paraId="7F9299FB" w14:textId="77777777" w:rsidR="00C11775" w:rsidRPr="00183434" w:rsidRDefault="00C11775" w:rsidP="00183434">
      <w:pPr>
        <w:jc w:val="both"/>
        <w:rPr>
          <w:rFonts w:cs="Arial"/>
          <w:sz w:val="23"/>
          <w:szCs w:val="23"/>
          <w:highlight w:val="cyan"/>
        </w:rPr>
      </w:pPr>
    </w:p>
    <w:p w14:paraId="520F29D3" w14:textId="77777777" w:rsidR="00AE5495" w:rsidRPr="00183434" w:rsidRDefault="00AE5495" w:rsidP="00183434">
      <w:pPr>
        <w:jc w:val="both"/>
        <w:rPr>
          <w:rFonts w:cs="Arial"/>
          <w:sz w:val="23"/>
          <w:szCs w:val="23"/>
          <w:highlight w:val="cyan"/>
        </w:rPr>
      </w:pPr>
    </w:p>
    <w:p w14:paraId="2AC4625D" w14:textId="77777777" w:rsidR="00AE5495" w:rsidRPr="00183434" w:rsidRDefault="00AE5495" w:rsidP="00183434">
      <w:pPr>
        <w:jc w:val="both"/>
        <w:rPr>
          <w:rFonts w:cs="Arial"/>
          <w:sz w:val="23"/>
          <w:szCs w:val="23"/>
          <w:highlight w:val="cyan"/>
        </w:rPr>
      </w:pPr>
    </w:p>
    <w:p w14:paraId="4AFE540A" w14:textId="77777777" w:rsidR="00AE5495" w:rsidRPr="00183434" w:rsidRDefault="00AE5495" w:rsidP="00183434">
      <w:pPr>
        <w:jc w:val="both"/>
        <w:rPr>
          <w:rFonts w:cs="Arial"/>
          <w:sz w:val="23"/>
          <w:szCs w:val="23"/>
          <w:highlight w:val="cyan"/>
        </w:rPr>
      </w:pPr>
    </w:p>
    <w:p w14:paraId="19EADDB3" w14:textId="77777777" w:rsidR="00AE5495" w:rsidRPr="00183434" w:rsidRDefault="00AE5495" w:rsidP="00183434">
      <w:pPr>
        <w:jc w:val="both"/>
        <w:rPr>
          <w:rFonts w:cs="Arial"/>
          <w:sz w:val="23"/>
          <w:szCs w:val="23"/>
          <w:highlight w:val="cyan"/>
        </w:rPr>
      </w:pPr>
    </w:p>
    <w:p w14:paraId="6247DC3D" w14:textId="77777777" w:rsidR="00F42BCB" w:rsidRPr="00183434" w:rsidRDefault="00F42BCB" w:rsidP="00183434">
      <w:pPr>
        <w:jc w:val="both"/>
        <w:rPr>
          <w:rFonts w:cs="Arial"/>
          <w:sz w:val="23"/>
          <w:szCs w:val="23"/>
        </w:rPr>
      </w:pPr>
      <w:r w:rsidRPr="00183434">
        <w:rPr>
          <w:rFonts w:cs="Arial"/>
          <w:b/>
          <w:sz w:val="23"/>
          <w:szCs w:val="23"/>
        </w:rPr>
        <w:lastRenderedPageBreak/>
        <w:t>8</w:t>
      </w:r>
      <w:r w:rsidRPr="00183434">
        <w:rPr>
          <w:rFonts w:cs="Arial"/>
          <w:sz w:val="23"/>
          <w:szCs w:val="23"/>
        </w:rPr>
        <w:t>.</w:t>
      </w:r>
      <w:r w:rsidRPr="00183434">
        <w:rPr>
          <w:rFonts w:cs="Arial"/>
          <w:sz w:val="23"/>
          <w:szCs w:val="23"/>
        </w:rPr>
        <w:tab/>
      </w:r>
      <w:r w:rsidRPr="00183434">
        <w:rPr>
          <w:rFonts w:cs="Arial"/>
          <w:b/>
          <w:sz w:val="23"/>
          <w:szCs w:val="23"/>
          <w:u w:val="single"/>
        </w:rPr>
        <w:t>SEGMENTAL INCOME</w:t>
      </w:r>
      <w:r w:rsidRPr="00183434">
        <w:rPr>
          <w:rFonts w:cs="Arial"/>
          <w:sz w:val="23"/>
          <w:szCs w:val="23"/>
        </w:rPr>
        <w:t xml:space="preserve"> </w:t>
      </w:r>
    </w:p>
    <w:p w14:paraId="79D9038C" w14:textId="77777777" w:rsidR="00F42BCB" w:rsidRPr="00183434" w:rsidRDefault="00F42BCB" w:rsidP="00183434">
      <w:pPr>
        <w:jc w:val="both"/>
        <w:rPr>
          <w:rFonts w:cs="Arial"/>
          <w:sz w:val="23"/>
          <w:szCs w:val="23"/>
        </w:rPr>
      </w:pPr>
    </w:p>
    <w:p w14:paraId="156A0793" w14:textId="77777777" w:rsidR="00B60AEE" w:rsidRPr="00183434" w:rsidRDefault="00681BF3" w:rsidP="00183434">
      <w:pPr>
        <w:ind w:left="720"/>
        <w:jc w:val="both"/>
        <w:rPr>
          <w:rFonts w:cs="Arial"/>
          <w:sz w:val="23"/>
          <w:szCs w:val="23"/>
        </w:rPr>
      </w:pPr>
      <w:r w:rsidRPr="00183434">
        <w:rPr>
          <w:rFonts w:cs="Arial"/>
          <w:sz w:val="23"/>
          <w:szCs w:val="23"/>
        </w:rPr>
        <w:t>The amount of i</w:t>
      </w:r>
      <w:r w:rsidR="00F42BCB" w:rsidRPr="00183434">
        <w:rPr>
          <w:rFonts w:cs="Arial"/>
          <w:sz w:val="23"/>
          <w:szCs w:val="23"/>
        </w:rPr>
        <w:t>ncome received</w:t>
      </w:r>
      <w:r w:rsidRPr="00183434">
        <w:rPr>
          <w:rFonts w:cs="Arial"/>
          <w:sz w:val="23"/>
          <w:szCs w:val="23"/>
        </w:rPr>
        <w:t xml:space="preserve"> from external sources is shown below</w:t>
      </w:r>
      <w:r w:rsidR="00F42BCB" w:rsidRPr="00183434">
        <w:rPr>
          <w:rFonts w:cs="Arial"/>
          <w:sz w:val="23"/>
          <w:szCs w:val="23"/>
        </w:rPr>
        <w:t xml:space="preserve"> on a s</w:t>
      </w:r>
      <w:r w:rsidRPr="00183434">
        <w:rPr>
          <w:rFonts w:cs="Arial"/>
          <w:sz w:val="23"/>
          <w:szCs w:val="23"/>
        </w:rPr>
        <w:t>egmental basis.</w:t>
      </w:r>
    </w:p>
    <w:p w14:paraId="70E3829D" w14:textId="77777777" w:rsidR="008108EC" w:rsidRPr="00183434" w:rsidRDefault="008108EC" w:rsidP="00183434">
      <w:pPr>
        <w:jc w:val="both"/>
        <w:rPr>
          <w:rFonts w:cs="Arial"/>
          <w:sz w:val="23"/>
          <w:szCs w:val="23"/>
        </w:rPr>
      </w:pPr>
    </w:p>
    <w:p w14:paraId="6316A36A" w14:textId="7F04C78C" w:rsidR="004E010F" w:rsidRPr="00183434" w:rsidRDefault="004E010F" w:rsidP="00183434">
      <w:pPr>
        <w:jc w:val="both"/>
        <w:rPr>
          <w:rFonts w:cs="Arial"/>
          <w:sz w:val="23"/>
          <w:szCs w:val="23"/>
        </w:rPr>
      </w:pPr>
      <w:r w:rsidRPr="00183434">
        <w:rPr>
          <w:rFonts w:cs="Arial"/>
          <w:sz w:val="23"/>
          <w:szCs w:val="23"/>
        </w:rPr>
        <w:tab/>
      </w:r>
      <w:r w:rsidR="00A61A6A" w:rsidRPr="00183434">
        <w:rPr>
          <w:rFonts w:cs="Arial"/>
          <w:sz w:val="23"/>
          <w:szCs w:val="23"/>
        </w:rPr>
        <w:object w:dxaOrig="8230" w:dyaOrig="3330" w14:anchorId="13B528B3">
          <v:shape id="_x0000_i1033" type="#_x0000_t75" style="width:411.25pt;height:165.9pt" o:ole="">
            <v:imagedata r:id="rId30" o:title=""/>
          </v:shape>
          <o:OLEObject Type="Link" ProgID="Excel.Sheet.12" ShapeID="_x0000_i1033" DrawAspect="Content" r:id="rId31" UpdateMode="Always">
            <o:LinkType>EnhancedMetaFile</o:LinkType>
            <o:LockedField>false</o:LockedField>
            <o:FieldCodes>\* MERGEFORMAT</o:FieldCodes>
          </o:OLEObject>
        </w:object>
      </w:r>
    </w:p>
    <w:p w14:paraId="76880660" w14:textId="77777777" w:rsidR="009B24A4" w:rsidRPr="00183434" w:rsidRDefault="009B24A4" w:rsidP="00183434">
      <w:pPr>
        <w:jc w:val="both"/>
        <w:rPr>
          <w:rFonts w:cs="Arial"/>
          <w:sz w:val="23"/>
          <w:szCs w:val="23"/>
          <w:highlight w:val="cyan"/>
        </w:rPr>
      </w:pPr>
    </w:p>
    <w:p w14:paraId="5B698E27" w14:textId="77777777" w:rsidR="007B41A5" w:rsidRPr="00183434" w:rsidRDefault="007B41A5" w:rsidP="00183434">
      <w:pPr>
        <w:jc w:val="both"/>
        <w:rPr>
          <w:rFonts w:cs="Arial"/>
          <w:sz w:val="23"/>
          <w:szCs w:val="23"/>
          <w:highlight w:val="cyan"/>
        </w:rPr>
      </w:pPr>
    </w:p>
    <w:p w14:paraId="411F55F1" w14:textId="1D2E7B0A" w:rsidR="000255DA" w:rsidRPr="00183434" w:rsidRDefault="000255DA" w:rsidP="00183434">
      <w:pPr>
        <w:jc w:val="both"/>
        <w:rPr>
          <w:rFonts w:cs="Arial"/>
          <w:b/>
          <w:sz w:val="23"/>
          <w:szCs w:val="23"/>
          <w:highlight w:val="cyan"/>
        </w:rPr>
      </w:pPr>
    </w:p>
    <w:p w14:paraId="7B7F62FA" w14:textId="4550A038" w:rsidR="00F42BCB" w:rsidRPr="00183434" w:rsidRDefault="002C658B" w:rsidP="00183434">
      <w:pPr>
        <w:jc w:val="both"/>
        <w:rPr>
          <w:rFonts w:cs="Arial"/>
          <w:sz w:val="23"/>
          <w:szCs w:val="23"/>
        </w:rPr>
      </w:pPr>
      <w:r w:rsidRPr="00183434">
        <w:rPr>
          <w:rFonts w:cs="Arial"/>
          <w:b/>
          <w:sz w:val="23"/>
          <w:szCs w:val="23"/>
        </w:rPr>
        <w:t>9</w:t>
      </w:r>
      <w:r w:rsidRPr="00183434">
        <w:rPr>
          <w:rFonts w:cs="Arial"/>
          <w:sz w:val="23"/>
          <w:szCs w:val="23"/>
        </w:rPr>
        <w:t xml:space="preserve">. </w:t>
      </w:r>
      <w:r w:rsidRPr="00183434">
        <w:rPr>
          <w:rFonts w:cs="Arial"/>
          <w:sz w:val="23"/>
          <w:szCs w:val="23"/>
        </w:rPr>
        <w:tab/>
      </w:r>
      <w:r w:rsidRPr="00183434">
        <w:rPr>
          <w:rFonts w:cs="Arial"/>
          <w:b/>
          <w:sz w:val="23"/>
          <w:szCs w:val="23"/>
          <w:u w:val="single"/>
        </w:rPr>
        <w:t>EXPENDITURE AND INCOME ANALYSED BY NATURE</w:t>
      </w:r>
    </w:p>
    <w:p w14:paraId="610517D7" w14:textId="77777777" w:rsidR="00D153C1" w:rsidRPr="00183434" w:rsidRDefault="00D153C1" w:rsidP="00183434">
      <w:pPr>
        <w:jc w:val="both"/>
        <w:rPr>
          <w:rFonts w:cs="Arial"/>
          <w:sz w:val="23"/>
          <w:szCs w:val="23"/>
        </w:rPr>
      </w:pPr>
    </w:p>
    <w:p w14:paraId="1B70793C" w14:textId="77777777" w:rsidR="002C658B" w:rsidRPr="00183434" w:rsidRDefault="002C658B" w:rsidP="00183434">
      <w:pPr>
        <w:jc w:val="both"/>
        <w:rPr>
          <w:rFonts w:cs="Arial"/>
          <w:sz w:val="23"/>
          <w:szCs w:val="23"/>
        </w:rPr>
      </w:pPr>
      <w:r w:rsidRPr="00183434">
        <w:rPr>
          <w:rFonts w:cs="Arial"/>
          <w:sz w:val="23"/>
          <w:szCs w:val="23"/>
        </w:rPr>
        <w:tab/>
        <w:t xml:space="preserve">The authority’s expenditure and income </w:t>
      </w:r>
      <w:proofErr w:type="gramStart"/>
      <w:r w:rsidRPr="00183434">
        <w:rPr>
          <w:rFonts w:cs="Arial"/>
          <w:sz w:val="23"/>
          <w:szCs w:val="23"/>
        </w:rPr>
        <w:t>is</w:t>
      </w:r>
      <w:proofErr w:type="gramEnd"/>
      <w:r w:rsidRPr="00183434">
        <w:rPr>
          <w:rFonts w:cs="Arial"/>
          <w:sz w:val="23"/>
          <w:szCs w:val="23"/>
        </w:rPr>
        <w:t xml:space="preserve"> analysed as follows:</w:t>
      </w:r>
    </w:p>
    <w:p w14:paraId="764907B5" w14:textId="77777777" w:rsidR="000255DA" w:rsidRPr="00183434" w:rsidRDefault="000255DA" w:rsidP="00183434">
      <w:pPr>
        <w:jc w:val="both"/>
        <w:rPr>
          <w:rFonts w:cs="Arial"/>
          <w:sz w:val="23"/>
          <w:szCs w:val="23"/>
        </w:rPr>
      </w:pPr>
    </w:p>
    <w:p w14:paraId="74D5CD94" w14:textId="0168010F" w:rsidR="004761CA" w:rsidRPr="00183434" w:rsidRDefault="00256CC8" w:rsidP="00183434">
      <w:pPr>
        <w:jc w:val="both"/>
        <w:rPr>
          <w:rFonts w:cs="Arial"/>
          <w:sz w:val="23"/>
          <w:szCs w:val="23"/>
        </w:rPr>
      </w:pPr>
      <w:r w:rsidRPr="00183434">
        <w:rPr>
          <w:rFonts w:cs="Arial"/>
          <w:sz w:val="23"/>
          <w:szCs w:val="23"/>
        </w:rPr>
        <w:tab/>
      </w:r>
      <w:r w:rsidR="00B925D5" w:rsidRPr="00183434">
        <w:rPr>
          <w:rFonts w:cs="Arial"/>
          <w:sz w:val="23"/>
          <w:szCs w:val="23"/>
        </w:rPr>
        <w:object w:dxaOrig="7351" w:dyaOrig="6240" w14:anchorId="3A25DE09">
          <v:shape id="_x0000_i1034" type="#_x0000_t75" style="width:358.85pt;height:312.2pt" o:ole="">
            <v:imagedata r:id="rId32" o:title=""/>
          </v:shape>
          <o:OLEObject Type="Link" ProgID="Excel.Sheet.12" ShapeID="_x0000_i1034" DrawAspect="Content" r:id="rId33" UpdateMode="Always">
            <o:LinkType>EnhancedMetaFile</o:LinkType>
            <o:LockedField>false</o:LockedField>
            <o:FieldCodes>\* MERGEFORMAT</o:FieldCodes>
          </o:OLEObject>
        </w:object>
      </w:r>
    </w:p>
    <w:p w14:paraId="493C96C8" w14:textId="77777777" w:rsidR="00AE5495" w:rsidRPr="00183434" w:rsidRDefault="00AE5495" w:rsidP="00183434">
      <w:pPr>
        <w:jc w:val="both"/>
        <w:rPr>
          <w:rFonts w:cs="Arial"/>
          <w:sz w:val="23"/>
          <w:szCs w:val="23"/>
          <w:highlight w:val="cyan"/>
        </w:rPr>
      </w:pPr>
    </w:p>
    <w:p w14:paraId="347165C7" w14:textId="77777777" w:rsidR="009B24A4" w:rsidRPr="00183434" w:rsidRDefault="009B24A4" w:rsidP="00183434">
      <w:pPr>
        <w:jc w:val="both"/>
        <w:rPr>
          <w:rFonts w:cs="Arial"/>
          <w:sz w:val="23"/>
          <w:szCs w:val="23"/>
          <w:highlight w:val="cyan"/>
        </w:rPr>
      </w:pPr>
    </w:p>
    <w:p w14:paraId="0B07B31D" w14:textId="77777777" w:rsidR="00AC07CE" w:rsidRPr="00183434" w:rsidRDefault="00AC07CE" w:rsidP="00183434">
      <w:pPr>
        <w:jc w:val="both"/>
        <w:rPr>
          <w:rFonts w:cs="Arial"/>
          <w:b/>
          <w:sz w:val="23"/>
          <w:szCs w:val="23"/>
          <w:highlight w:val="cyan"/>
        </w:rPr>
      </w:pPr>
      <w:r w:rsidRPr="00183434">
        <w:rPr>
          <w:rFonts w:cs="Arial"/>
          <w:b/>
          <w:sz w:val="23"/>
          <w:szCs w:val="23"/>
          <w:highlight w:val="cyan"/>
        </w:rPr>
        <w:br w:type="page"/>
      </w:r>
    </w:p>
    <w:p w14:paraId="7D5A4514" w14:textId="1B32E855" w:rsidR="00386757" w:rsidRPr="00183434" w:rsidRDefault="006D4BB0" w:rsidP="00183434">
      <w:pPr>
        <w:ind w:left="720" w:hanging="720"/>
        <w:jc w:val="both"/>
        <w:rPr>
          <w:rFonts w:cs="Arial"/>
          <w:b/>
          <w:sz w:val="23"/>
          <w:szCs w:val="23"/>
        </w:rPr>
      </w:pPr>
      <w:r w:rsidRPr="00183434">
        <w:rPr>
          <w:rFonts w:cs="Arial"/>
          <w:b/>
          <w:sz w:val="23"/>
          <w:szCs w:val="23"/>
        </w:rPr>
        <w:lastRenderedPageBreak/>
        <w:t>10</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ADJUSTMENTS BETWEEN ACCOUNTING BASIS AND FUNDING BASIS UNDER REGULATIONS</w:t>
      </w:r>
    </w:p>
    <w:p w14:paraId="0B18FC8A" w14:textId="77777777" w:rsidR="00386757" w:rsidRPr="00183434" w:rsidRDefault="00386757" w:rsidP="00183434">
      <w:pPr>
        <w:jc w:val="both"/>
        <w:rPr>
          <w:rFonts w:cs="Arial"/>
          <w:b/>
          <w:sz w:val="23"/>
          <w:szCs w:val="23"/>
        </w:rPr>
      </w:pPr>
    </w:p>
    <w:p w14:paraId="589CFFBD" w14:textId="77777777" w:rsidR="00386757" w:rsidRPr="00183434" w:rsidRDefault="00386757" w:rsidP="00183434">
      <w:pPr>
        <w:ind w:left="720"/>
        <w:jc w:val="both"/>
        <w:rPr>
          <w:rFonts w:cs="Arial"/>
          <w:b/>
          <w:sz w:val="23"/>
          <w:szCs w:val="23"/>
        </w:rPr>
      </w:pPr>
      <w:r w:rsidRPr="00183434">
        <w:rPr>
          <w:rFonts w:cs="Arial"/>
          <w:sz w:val="23"/>
          <w:szCs w:val="23"/>
        </w:rPr>
        <w:t xml:space="preserve">Income and expenditure charged to the General </w:t>
      </w:r>
      <w:proofErr w:type="gramStart"/>
      <w:r w:rsidRPr="00183434">
        <w:rPr>
          <w:rFonts w:cs="Arial"/>
          <w:sz w:val="23"/>
          <w:szCs w:val="23"/>
        </w:rPr>
        <w:t>Fund</w:t>
      </w:r>
      <w:proofErr w:type="gramEnd"/>
      <w:r w:rsidRPr="00183434">
        <w:rPr>
          <w:rFonts w:cs="Arial"/>
          <w:sz w:val="23"/>
          <w:szCs w:val="23"/>
        </w:rPr>
        <w:t xml:space="preserve"> and which must be </w:t>
      </w:r>
      <w:proofErr w:type="gramStart"/>
      <w:r w:rsidRPr="00183434">
        <w:rPr>
          <w:rFonts w:cs="Arial"/>
          <w:sz w:val="23"/>
          <w:szCs w:val="23"/>
        </w:rPr>
        <w:t>taken into account</w:t>
      </w:r>
      <w:proofErr w:type="gramEnd"/>
      <w:r w:rsidRPr="00183434">
        <w:rPr>
          <w:rFonts w:cs="Arial"/>
          <w:sz w:val="23"/>
          <w:szCs w:val="23"/>
        </w:rPr>
        <w:t xml:space="preserve"> in determining a local authority budget requirement and t</w:t>
      </w:r>
      <w:r w:rsidR="003E0B03" w:rsidRPr="00183434">
        <w:rPr>
          <w:rFonts w:cs="Arial"/>
          <w:sz w:val="23"/>
          <w:szCs w:val="23"/>
        </w:rPr>
        <w:t>herefore it</w:t>
      </w:r>
      <w:r w:rsidRPr="00183434">
        <w:rPr>
          <w:rFonts w:cs="Arial"/>
          <w:sz w:val="23"/>
          <w:szCs w:val="23"/>
        </w:rPr>
        <w:t>s council tax is determined by statute and non-statutory proper practices rather than being in accordance with IFRS requirements.</w:t>
      </w:r>
    </w:p>
    <w:p w14:paraId="1A0BEC0D" w14:textId="77777777" w:rsidR="00386757" w:rsidRPr="00183434" w:rsidRDefault="00386757" w:rsidP="00183434">
      <w:pPr>
        <w:ind w:left="720"/>
        <w:jc w:val="both"/>
        <w:rPr>
          <w:rFonts w:cs="Arial"/>
          <w:sz w:val="23"/>
          <w:szCs w:val="23"/>
        </w:rPr>
      </w:pPr>
    </w:p>
    <w:p w14:paraId="566B61E6" w14:textId="77777777" w:rsidR="00386757" w:rsidRPr="00183434" w:rsidRDefault="00386757" w:rsidP="00183434">
      <w:pPr>
        <w:ind w:left="720"/>
        <w:jc w:val="both"/>
        <w:rPr>
          <w:rFonts w:cs="Arial"/>
          <w:sz w:val="23"/>
          <w:szCs w:val="23"/>
        </w:rPr>
      </w:pPr>
      <w:r w:rsidRPr="00183434">
        <w:rPr>
          <w:rFonts w:cs="Arial"/>
          <w:sz w:val="23"/>
          <w:szCs w:val="23"/>
        </w:rPr>
        <w:t xml:space="preserve">Whilst the amounts which must be included in the Comprehensive Income and Expenditure Statement and the amounts required by statute and non-statutory practices to be included in the General Fund are largely the same, there are </w:t>
      </w:r>
      <w:proofErr w:type="gramStart"/>
      <w:r w:rsidRPr="00183434">
        <w:rPr>
          <w:rFonts w:cs="Arial"/>
          <w:sz w:val="23"/>
          <w:szCs w:val="23"/>
        </w:rPr>
        <w:t>a number of</w:t>
      </w:r>
      <w:proofErr w:type="gramEnd"/>
      <w:r w:rsidRPr="00183434">
        <w:rPr>
          <w:rFonts w:cs="Arial"/>
          <w:sz w:val="23"/>
          <w:szCs w:val="23"/>
        </w:rPr>
        <w:t xml:space="preserve"> differences.  </w:t>
      </w:r>
    </w:p>
    <w:p w14:paraId="709790B7" w14:textId="77777777" w:rsidR="00386757" w:rsidRPr="00183434" w:rsidRDefault="00386757" w:rsidP="00183434">
      <w:pPr>
        <w:ind w:left="720"/>
        <w:jc w:val="both"/>
        <w:rPr>
          <w:rFonts w:cs="Arial"/>
          <w:sz w:val="23"/>
          <w:szCs w:val="23"/>
        </w:rPr>
      </w:pPr>
    </w:p>
    <w:p w14:paraId="0197A65C" w14:textId="77777777" w:rsidR="000F68C0" w:rsidRPr="00183434" w:rsidRDefault="00386757" w:rsidP="00183434">
      <w:pPr>
        <w:ind w:left="720"/>
        <w:jc w:val="both"/>
        <w:rPr>
          <w:rFonts w:cs="Arial"/>
          <w:sz w:val="23"/>
          <w:szCs w:val="23"/>
        </w:rPr>
      </w:pPr>
      <w:r w:rsidRPr="00183434">
        <w:rPr>
          <w:rFonts w:cs="Arial"/>
          <w:sz w:val="23"/>
          <w:szCs w:val="23"/>
        </w:rPr>
        <w:t>This note details the adjustments that are made to the total comprehensive income and expenditure recognised in the year in accordance with proper accounting practice, to the resources that are specified by statutory provisions as being available to meet future capital and revenue expenditure.</w:t>
      </w:r>
    </w:p>
    <w:p w14:paraId="31D5BDDC" w14:textId="77777777" w:rsidR="00002589" w:rsidRPr="00183434" w:rsidRDefault="00002589" w:rsidP="00183434">
      <w:pPr>
        <w:ind w:left="-567"/>
        <w:jc w:val="both"/>
        <w:rPr>
          <w:rFonts w:cs="Arial"/>
          <w:sz w:val="23"/>
          <w:szCs w:val="23"/>
          <w:highlight w:val="cyan"/>
        </w:rPr>
      </w:pPr>
    </w:p>
    <w:p w14:paraId="6FE181BA" w14:textId="0E4EF08C" w:rsidR="005E3742" w:rsidRDefault="00AD7862" w:rsidP="00183434">
      <w:pPr>
        <w:ind w:firstLine="720"/>
        <w:jc w:val="both"/>
        <w:rPr>
          <w:rFonts w:cs="Arial"/>
          <w:sz w:val="23"/>
          <w:szCs w:val="23"/>
        </w:rPr>
      </w:pPr>
      <w:r>
        <w:rPr>
          <w:rFonts w:cs="Arial"/>
          <w:sz w:val="23"/>
          <w:szCs w:val="23"/>
        </w:rPr>
        <w:object w:dxaOrig="14092" w:dyaOrig="13639" w14:anchorId="502F2737">
          <v:shape id="_x0000_i1496" type="#_x0000_t75" style="width:438.9pt;height:425.65pt" o:ole="">
            <v:imagedata r:id="rId34" o:title=""/>
          </v:shape>
          <o:OLEObject Type="Link" ProgID="Excel.Sheet.12" ShapeID="_x0000_i1496" DrawAspect="Content" r:id="rId35" UpdateMode="Always">
            <o:LinkType>EnhancedMetaFile</o:LinkType>
            <o:LockedField>false</o:LockedField>
          </o:OLEObject>
        </w:object>
      </w:r>
    </w:p>
    <w:p w14:paraId="7267F8CF" w14:textId="77777777" w:rsidR="00AD7862" w:rsidRDefault="00AD7862" w:rsidP="00183434">
      <w:pPr>
        <w:ind w:firstLine="720"/>
        <w:jc w:val="both"/>
        <w:rPr>
          <w:rFonts w:cs="Arial"/>
          <w:sz w:val="23"/>
          <w:szCs w:val="23"/>
        </w:rPr>
      </w:pPr>
    </w:p>
    <w:p w14:paraId="1D810D8C" w14:textId="77777777" w:rsidR="00AD7862" w:rsidRDefault="00AD7862" w:rsidP="00183434">
      <w:pPr>
        <w:ind w:firstLine="720"/>
        <w:jc w:val="both"/>
        <w:rPr>
          <w:rFonts w:cs="Arial"/>
          <w:sz w:val="23"/>
          <w:szCs w:val="23"/>
        </w:rPr>
      </w:pPr>
    </w:p>
    <w:p w14:paraId="1DFB930A" w14:textId="77777777" w:rsidR="00AD7862" w:rsidRDefault="00AD7862" w:rsidP="00183434">
      <w:pPr>
        <w:ind w:firstLine="720"/>
        <w:jc w:val="both"/>
        <w:rPr>
          <w:rFonts w:cs="Arial"/>
          <w:sz w:val="23"/>
          <w:szCs w:val="23"/>
        </w:rPr>
      </w:pPr>
    </w:p>
    <w:p w14:paraId="01F50684" w14:textId="77777777" w:rsidR="00AD7862" w:rsidRDefault="00AD7862" w:rsidP="00183434">
      <w:pPr>
        <w:ind w:firstLine="720"/>
        <w:jc w:val="both"/>
        <w:rPr>
          <w:rFonts w:cs="Arial"/>
          <w:sz w:val="23"/>
          <w:szCs w:val="23"/>
        </w:rPr>
      </w:pPr>
    </w:p>
    <w:p w14:paraId="2F18C85D" w14:textId="77777777" w:rsidR="00AD7862" w:rsidRDefault="00AD7862" w:rsidP="00183434">
      <w:pPr>
        <w:ind w:firstLine="720"/>
        <w:jc w:val="both"/>
        <w:rPr>
          <w:rFonts w:cs="Arial"/>
          <w:sz w:val="23"/>
          <w:szCs w:val="23"/>
        </w:rPr>
      </w:pPr>
    </w:p>
    <w:p w14:paraId="69B950FB" w14:textId="77777777" w:rsidR="00AD7862" w:rsidRPr="00183434" w:rsidRDefault="00AD7862" w:rsidP="00183434">
      <w:pPr>
        <w:ind w:firstLine="720"/>
        <w:jc w:val="both"/>
        <w:rPr>
          <w:rFonts w:cs="Arial"/>
          <w:sz w:val="23"/>
          <w:szCs w:val="23"/>
          <w:highlight w:val="cyan"/>
        </w:rPr>
      </w:pPr>
    </w:p>
    <w:p w14:paraId="5B41D083" w14:textId="31AC0FF0" w:rsidR="006744F1" w:rsidRDefault="00AD7862" w:rsidP="00183434">
      <w:pPr>
        <w:ind w:firstLine="720"/>
        <w:jc w:val="both"/>
        <w:rPr>
          <w:rFonts w:cs="Arial"/>
          <w:sz w:val="23"/>
          <w:szCs w:val="23"/>
        </w:rPr>
      </w:pPr>
      <w:r>
        <w:rPr>
          <w:rFonts w:cs="Arial"/>
          <w:sz w:val="23"/>
          <w:szCs w:val="23"/>
        </w:rPr>
        <w:object w:dxaOrig="14092" w:dyaOrig="13639" w14:anchorId="36D4F4D3">
          <v:shape id="_x0000_i1500" type="#_x0000_t75" style="width:442.35pt;height:429.1pt" o:ole="">
            <v:imagedata r:id="rId36" o:title=""/>
          </v:shape>
          <o:OLEObject Type="Link" ProgID="Excel.Sheet.12" ShapeID="_x0000_i1500" DrawAspect="Content" r:id="rId37" UpdateMode="Always">
            <o:LinkType>EnhancedMetaFile</o:LinkType>
            <o:LockedField>false</o:LockedField>
          </o:OLEObject>
        </w:object>
      </w:r>
    </w:p>
    <w:p w14:paraId="7D0CDDCE" w14:textId="71A62051" w:rsidR="00AD7862" w:rsidRDefault="00AD7862">
      <w:pPr>
        <w:rPr>
          <w:rFonts w:cs="Arial"/>
          <w:sz w:val="23"/>
          <w:szCs w:val="23"/>
        </w:rPr>
      </w:pPr>
      <w:r>
        <w:rPr>
          <w:rFonts w:cs="Arial"/>
          <w:sz w:val="23"/>
          <w:szCs w:val="23"/>
        </w:rPr>
        <w:br w:type="page"/>
      </w:r>
    </w:p>
    <w:p w14:paraId="0D32C6A1" w14:textId="77777777" w:rsidR="00AD7862" w:rsidRPr="00183434" w:rsidRDefault="00AD7862" w:rsidP="00183434">
      <w:pPr>
        <w:ind w:firstLine="720"/>
        <w:jc w:val="both"/>
        <w:rPr>
          <w:rFonts w:cs="Arial"/>
          <w:sz w:val="23"/>
          <w:szCs w:val="23"/>
          <w:highlight w:val="cyan"/>
        </w:rPr>
      </w:pPr>
    </w:p>
    <w:p w14:paraId="04A0BCED" w14:textId="55C0DECD" w:rsidR="00344C8D" w:rsidRPr="00183434" w:rsidRDefault="006D4BB0" w:rsidP="00183434">
      <w:pPr>
        <w:ind w:left="709" w:hanging="709"/>
        <w:jc w:val="both"/>
        <w:rPr>
          <w:rFonts w:cs="Arial"/>
          <w:b/>
          <w:sz w:val="23"/>
          <w:szCs w:val="23"/>
          <w:u w:val="single"/>
        </w:rPr>
      </w:pPr>
      <w:r w:rsidRPr="00183434">
        <w:rPr>
          <w:rFonts w:cs="Arial"/>
          <w:b/>
          <w:sz w:val="23"/>
          <w:szCs w:val="23"/>
        </w:rPr>
        <w:t>11</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TRANSFERS TO/FROM EARMARKED RESERVES</w:t>
      </w:r>
    </w:p>
    <w:p w14:paraId="257C8AC5" w14:textId="77777777" w:rsidR="008C34D7" w:rsidRPr="00183434" w:rsidRDefault="008C34D7" w:rsidP="00183434">
      <w:pPr>
        <w:jc w:val="both"/>
        <w:rPr>
          <w:rFonts w:cs="Arial"/>
          <w:b/>
          <w:sz w:val="23"/>
          <w:szCs w:val="23"/>
          <w:u w:val="single"/>
        </w:rPr>
      </w:pPr>
    </w:p>
    <w:p w14:paraId="35E463A9" w14:textId="77777777" w:rsidR="00F56956" w:rsidRPr="00183434" w:rsidRDefault="00386757" w:rsidP="00183434">
      <w:pPr>
        <w:ind w:left="720"/>
        <w:jc w:val="both"/>
        <w:rPr>
          <w:rFonts w:cs="Arial"/>
          <w:b/>
          <w:sz w:val="23"/>
          <w:szCs w:val="23"/>
          <w:u w:val="single"/>
        </w:rPr>
      </w:pPr>
      <w:r w:rsidRPr="00183434">
        <w:rPr>
          <w:rFonts w:cs="Arial"/>
          <w:sz w:val="23"/>
          <w:szCs w:val="23"/>
        </w:rPr>
        <w:t>This note sets out the amounts set aside from the General Fund and HRA balances in earmarked reserves to provide financing for future expenditure plans and the amounts posted back from earmarked reserves to meet General Fund and HRA expenditure.</w:t>
      </w:r>
    </w:p>
    <w:p w14:paraId="15D017CC" w14:textId="77777777" w:rsidR="00F56956" w:rsidRPr="00183434" w:rsidRDefault="00F56956" w:rsidP="00183434">
      <w:pPr>
        <w:jc w:val="both"/>
        <w:rPr>
          <w:rFonts w:cs="Arial"/>
          <w:sz w:val="23"/>
          <w:szCs w:val="23"/>
        </w:rPr>
      </w:pPr>
    </w:p>
    <w:p w14:paraId="6B2DB8EF" w14:textId="446463DE" w:rsidR="00E8751A" w:rsidRPr="00183434" w:rsidRDefault="000B7D57" w:rsidP="00183434">
      <w:pPr>
        <w:ind w:left="-567" w:firstLine="1287"/>
        <w:jc w:val="both"/>
        <w:rPr>
          <w:rFonts w:cs="Arial"/>
          <w:sz w:val="23"/>
          <w:szCs w:val="23"/>
        </w:rPr>
      </w:pPr>
      <w:r w:rsidRPr="00183434">
        <w:rPr>
          <w:rFonts w:cs="Arial"/>
          <w:sz w:val="23"/>
          <w:szCs w:val="23"/>
        </w:rPr>
        <w:object w:dxaOrig="11803" w:dyaOrig="13397" w14:anchorId="18FE029B">
          <v:shape id="_x0000_i1037" type="#_x0000_t75" style="width:6in;height:489pt" o:ole="">
            <v:imagedata r:id="rId38" o:title=""/>
          </v:shape>
          <o:OLEObject Type="Link" ProgID="Excel.Sheet.12" ShapeID="_x0000_i1037" DrawAspect="Content" r:id="rId39" UpdateMode="Always">
            <o:LinkType>EnhancedMetaFile</o:LinkType>
            <o:LockedField>false</o:LockedField>
            <o:FieldCodes>\* MERGEFORMAT</o:FieldCodes>
          </o:OLEObject>
        </w:object>
      </w:r>
    </w:p>
    <w:p w14:paraId="541CA222" w14:textId="77777777" w:rsidR="00FB61F1" w:rsidRPr="00183434" w:rsidRDefault="00FB61F1" w:rsidP="00183434">
      <w:pPr>
        <w:ind w:left="720" w:firstLine="3"/>
        <w:jc w:val="both"/>
        <w:rPr>
          <w:rFonts w:cs="Arial"/>
          <w:sz w:val="23"/>
          <w:szCs w:val="23"/>
          <w:highlight w:val="cyan"/>
        </w:rPr>
      </w:pPr>
    </w:p>
    <w:p w14:paraId="6984CF2F" w14:textId="77777777" w:rsidR="00040DB9" w:rsidRPr="00183434" w:rsidRDefault="00040DB9" w:rsidP="00183434">
      <w:pPr>
        <w:jc w:val="both"/>
        <w:rPr>
          <w:rFonts w:cs="Arial"/>
          <w:b/>
          <w:sz w:val="23"/>
          <w:szCs w:val="23"/>
          <w:highlight w:val="cyan"/>
        </w:rPr>
      </w:pPr>
    </w:p>
    <w:p w14:paraId="6E18D826" w14:textId="77777777" w:rsidR="003F268A" w:rsidRPr="00183434" w:rsidRDefault="003F268A" w:rsidP="00183434">
      <w:pPr>
        <w:jc w:val="both"/>
        <w:rPr>
          <w:rFonts w:cs="Arial"/>
          <w:b/>
          <w:sz w:val="23"/>
          <w:szCs w:val="23"/>
          <w:highlight w:val="cyan"/>
        </w:rPr>
      </w:pPr>
      <w:r w:rsidRPr="00183434">
        <w:rPr>
          <w:rFonts w:cs="Arial"/>
          <w:b/>
          <w:sz w:val="23"/>
          <w:szCs w:val="23"/>
          <w:highlight w:val="cyan"/>
        </w:rPr>
        <w:br w:type="page"/>
      </w:r>
    </w:p>
    <w:p w14:paraId="270D404D" w14:textId="64C4D47E" w:rsidR="00386757" w:rsidRPr="00183434" w:rsidRDefault="006D4BB0" w:rsidP="00183434">
      <w:pPr>
        <w:jc w:val="both"/>
        <w:rPr>
          <w:rFonts w:cs="Arial"/>
          <w:b/>
          <w:sz w:val="23"/>
          <w:szCs w:val="23"/>
          <w:u w:val="single"/>
        </w:rPr>
      </w:pPr>
      <w:r w:rsidRPr="00183434">
        <w:rPr>
          <w:rFonts w:cs="Arial"/>
          <w:b/>
          <w:sz w:val="23"/>
          <w:szCs w:val="23"/>
        </w:rPr>
        <w:lastRenderedPageBreak/>
        <w:t>12</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OTHER OPERATING EXPENDITURE</w:t>
      </w:r>
    </w:p>
    <w:p w14:paraId="426897F9" w14:textId="77777777" w:rsidR="0023186A" w:rsidRPr="00183434" w:rsidRDefault="0023186A" w:rsidP="00183434">
      <w:pPr>
        <w:jc w:val="both"/>
        <w:rPr>
          <w:rFonts w:cs="Arial"/>
          <w:b/>
          <w:sz w:val="23"/>
          <w:szCs w:val="23"/>
          <w:highlight w:val="cyan"/>
          <w:u w:val="single"/>
        </w:rPr>
      </w:pPr>
    </w:p>
    <w:p w14:paraId="73A86075" w14:textId="1402ECD9" w:rsidR="00386757" w:rsidRPr="00183434" w:rsidRDefault="00532DF4" w:rsidP="00183434">
      <w:pPr>
        <w:jc w:val="both"/>
        <w:rPr>
          <w:rFonts w:cs="Arial"/>
          <w:b/>
          <w:sz w:val="23"/>
          <w:szCs w:val="23"/>
        </w:rPr>
      </w:pPr>
      <w:r w:rsidRPr="00183434">
        <w:rPr>
          <w:rFonts w:cs="Arial"/>
          <w:b/>
          <w:sz w:val="23"/>
          <w:szCs w:val="23"/>
        </w:rPr>
        <w:tab/>
      </w:r>
      <w:r w:rsidR="00A61A6A" w:rsidRPr="00183434">
        <w:rPr>
          <w:rFonts w:cs="Arial"/>
          <w:b/>
          <w:sz w:val="23"/>
          <w:szCs w:val="23"/>
        </w:rPr>
        <w:object w:dxaOrig="8300" w:dyaOrig="3400" w14:anchorId="6AFE3B9D">
          <v:shape id="_x0000_i1038" type="#_x0000_t75" style="width:425.1pt;height:171.65pt" o:ole="">
            <v:imagedata r:id="rId40" o:title=""/>
          </v:shape>
          <o:OLEObject Type="Link" ProgID="Excel.Sheet.12" ShapeID="_x0000_i1038" DrawAspect="Content" r:id="rId41" UpdateMode="Always">
            <o:LinkType>EnhancedMetaFile</o:LinkType>
            <o:LockedField>false</o:LockedField>
            <o:FieldCodes>\* MERGEFORMAT</o:FieldCodes>
          </o:OLEObject>
        </w:object>
      </w:r>
    </w:p>
    <w:p w14:paraId="3C65CF5C" w14:textId="77777777" w:rsidR="0023186A" w:rsidRPr="00183434" w:rsidRDefault="0023186A" w:rsidP="00183434">
      <w:pPr>
        <w:jc w:val="both"/>
        <w:rPr>
          <w:rFonts w:cs="Arial"/>
          <w:b/>
          <w:sz w:val="23"/>
          <w:szCs w:val="23"/>
          <w:highlight w:val="cyan"/>
        </w:rPr>
      </w:pPr>
    </w:p>
    <w:p w14:paraId="28D0D118" w14:textId="77777777" w:rsidR="00386757" w:rsidRPr="00183434" w:rsidRDefault="006D4BB0" w:rsidP="00183434">
      <w:pPr>
        <w:jc w:val="both"/>
        <w:rPr>
          <w:rFonts w:cs="Arial"/>
          <w:b/>
          <w:sz w:val="23"/>
          <w:szCs w:val="23"/>
          <w:u w:val="single"/>
        </w:rPr>
      </w:pPr>
      <w:r w:rsidRPr="00183434">
        <w:rPr>
          <w:rFonts w:cs="Arial"/>
          <w:b/>
          <w:sz w:val="23"/>
          <w:szCs w:val="23"/>
        </w:rPr>
        <w:t>13</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FINANCING AND INVESTMENT INCOME AND EXPENDITURE</w:t>
      </w:r>
    </w:p>
    <w:p w14:paraId="695B1E27" w14:textId="77777777" w:rsidR="00532DF4" w:rsidRPr="00183434" w:rsidRDefault="00532DF4" w:rsidP="00183434">
      <w:pPr>
        <w:ind w:firstLine="720"/>
        <w:jc w:val="both"/>
        <w:rPr>
          <w:rFonts w:cs="Arial"/>
          <w:b/>
          <w:sz w:val="23"/>
          <w:szCs w:val="23"/>
        </w:rPr>
      </w:pPr>
    </w:p>
    <w:p w14:paraId="30216F2A" w14:textId="61F1C8A1" w:rsidR="00621E98" w:rsidRPr="00183434" w:rsidRDefault="00A61A6A" w:rsidP="00183434">
      <w:pPr>
        <w:ind w:firstLine="720"/>
        <w:jc w:val="both"/>
        <w:rPr>
          <w:rFonts w:cs="Arial"/>
          <w:b/>
          <w:sz w:val="23"/>
          <w:szCs w:val="23"/>
          <w:u w:val="single"/>
        </w:rPr>
      </w:pPr>
      <w:r w:rsidRPr="00183434">
        <w:rPr>
          <w:rFonts w:cs="Arial"/>
          <w:b/>
          <w:sz w:val="23"/>
          <w:szCs w:val="23"/>
          <w:u w:val="single"/>
        </w:rPr>
        <w:object w:dxaOrig="8300" w:dyaOrig="5390" w14:anchorId="5C96177C">
          <v:shape id="_x0000_i1039" type="#_x0000_t75" style="width:425.1pt;height:269pt" o:ole="">
            <v:imagedata r:id="rId42" o:title=""/>
          </v:shape>
          <o:OLEObject Type="Link" ProgID="Excel.Sheet.12" ShapeID="_x0000_i1039" DrawAspect="Content" r:id="rId43" UpdateMode="Always">
            <o:LinkType>EnhancedMetaFile</o:LinkType>
            <o:LockedField>false</o:LockedField>
            <o:FieldCodes>\* MERGEFORMAT</o:FieldCodes>
          </o:OLEObject>
        </w:object>
      </w:r>
    </w:p>
    <w:p w14:paraId="7EDEECA5" w14:textId="77777777" w:rsidR="00336A02" w:rsidRPr="00183434" w:rsidRDefault="00336A02" w:rsidP="00183434">
      <w:pPr>
        <w:ind w:left="720"/>
        <w:jc w:val="both"/>
        <w:rPr>
          <w:rFonts w:cs="Arial"/>
          <w:sz w:val="23"/>
          <w:szCs w:val="23"/>
          <w:highlight w:val="cyan"/>
        </w:rPr>
      </w:pPr>
    </w:p>
    <w:p w14:paraId="4457DDCC" w14:textId="6FFAC40F" w:rsidR="002D0743" w:rsidRPr="00183434" w:rsidRDefault="006D4BB0" w:rsidP="00183434">
      <w:pPr>
        <w:jc w:val="both"/>
        <w:rPr>
          <w:rFonts w:cs="Arial"/>
          <w:b/>
          <w:sz w:val="23"/>
          <w:szCs w:val="23"/>
          <w:highlight w:val="cyan"/>
          <w:u w:val="single"/>
        </w:rPr>
      </w:pPr>
      <w:r w:rsidRPr="00183434">
        <w:rPr>
          <w:rFonts w:cs="Arial"/>
          <w:b/>
          <w:sz w:val="23"/>
          <w:szCs w:val="23"/>
        </w:rPr>
        <w:t>14</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 xml:space="preserve">TAXATION AND </w:t>
      </w:r>
      <w:r w:rsidR="00CB597E" w:rsidRPr="00183434">
        <w:rPr>
          <w:rFonts w:cs="Arial"/>
          <w:b/>
          <w:sz w:val="23"/>
          <w:szCs w:val="23"/>
          <w:u w:val="single"/>
        </w:rPr>
        <w:t>NON-SPECIFIC</w:t>
      </w:r>
      <w:r w:rsidR="00386757" w:rsidRPr="00183434">
        <w:rPr>
          <w:rFonts w:cs="Arial"/>
          <w:b/>
          <w:sz w:val="23"/>
          <w:szCs w:val="23"/>
          <w:u w:val="single"/>
        </w:rPr>
        <w:t xml:space="preserve"> GRANT INCOME</w:t>
      </w:r>
    </w:p>
    <w:p w14:paraId="4739D062" w14:textId="77777777" w:rsidR="00103D28" w:rsidRPr="00183434" w:rsidRDefault="00103D28" w:rsidP="00183434">
      <w:pPr>
        <w:jc w:val="both"/>
        <w:rPr>
          <w:rFonts w:cs="Arial"/>
          <w:b/>
          <w:sz w:val="23"/>
          <w:szCs w:val="23"/>
          <w:u w:val="single"/>
        </w:rPr>
      </w:pPr>
    </w:p>
    <w:p w14:paraId="43B15F40" w14:textId="1243DF57" w:rsidR="00103D28" w:rsidRPr="00183434" w:rsidRDefault="00A61A6A" w:rsidP="00183434">
      <w:pPr>
        <w:ind w:firstLine="720"/>
        <w:jc w:val="both"/>
        <w:rPr>
          <w:rFonts w:cs="Arial"/>
          <w:b/>
          <w:sz w:val="23"/>
          <w:szCs w:val="23"/>
          <w:highlight w:val="cyan"/>
          <w:u w:val="single"/>
        </w:rPr>
      </w:pPr>
      <w:r w:rsidRPr="00183434">
        <w:rPr>
          <w:rFonts w:cs="Arial"/>
          <w:b/>
          <w:sz w:val="23"/>
          <w:szCs w:val="23"/>
        </w:rPr>
        <w:object w:dxaOrig="8300" w:dyaOrig="3150" w14:anchorId="11CA698B">
          <v:shape id="_x0000_i1040" type="#_x0000_t75" style="width:425.1pt;height:159pt" o:ole="">
            <v:imagedata r:id="rId44" o:title=""/>
          </v:shape>
          <o:OLEObject Type="Link" ProgID="Excel.Sheet.12" ShapeID="_x0000_i1040" DrawAspect="Content" r:id="rId45" UpdateMode="Always">
            <o:LinkType>EnhancedMetaFile</o:LinkType>
            <o:LockedField>false</o:LockedField>
            <o:FieldCodes>\* MERGEFORMAT</o:FieldCodes>
          </o:OLEObject>
        </w:object>
      </w:r>
    </w:p>
    <w:p w14:paraId="79E4C4C1" w14:textId="571BA4BA" w:rsidR="00EE4BFF" w:rsidRPr="00183434" w:rsidRDefault="00EE4BFF" w:rsidP="00183434">
      <w:pPr>
        <w:ind w:firstLine="851"/>
        <w:jc w:val="both"/>
        <w:rPr>
          <w:rFonts w:cs="Arial"/>
          <w:b/>
          <w:sz w:val="23"/>
          <w:szCs w:val="23"/>
        </w:rPr>
      </w:pPr>
    </w:p>
    <w:p w14:paraId="585D24A9" w14:textId="77777777" w:rsidR="00040DB9" w:rsidRPr="00183434" w:rsidRDefault="00040DB9" w:rsidP="00183434">
      <w:pPr>
        <w:jc w:val="both"/>
        <w:rPr>
          <w:rFonts w:cs="Arial"/>
          <w:b/>
          <w:sz w:val="23"/>
          <w:szCs w:val="23"/>
        </w:rPr>
      </w:pPr>
    </w:p>
    <w:p w14:paraId="08544DAD" w14:textId="77777777" w:rsidR="009D0EF2" w:rsidRPr="00183434" w:rsidRDefault="00386757" w:rsidP="00183434">
      <w:pPr>
        <w:jc w:val="both"/>
        <w:rPr>
          <w:rFonts w:cs="Arial"/>
          <w:b/>
          <w:sz w:val="23"/>
          <w:szCs w:val="23"/>
          <w:u w:val="single"/>
        </w:rPr>
      </w:pPr>
      <w:r w:rsidRPr="00183434">
        <w:rPr>
          <w:rFonts w:cs="Arial"/>
          <w:b/>
          <w:sz w:val="23"/>
          <w:szCs w:val="23"/>
        </w:rPr>
        <w:t>1</w:t>
      </w:r>
      <w:r w:rsidR="001B2752" w:rsidRPr="00183434">
        <w:rPr>
          <w:rFonts w:cs="Arial"/>
          <w:b/>
          <w:sz w:val="23"/>
          <w:szCs w:val="23"/>
        </w:rPr>
        <w:t>5</w:t>
      </w:r>
      <w:r w:rsidRPr="00183434">
        <w:rPr>
          <w:rFonts w:cs="Arial"/>
          <w:sz w:val="23"/>
          <w:szCs w:val="23"/>
        </w:rPr>
        <w:t>.</w:t>
      </w:r>
      <w:r w:rsidRPr="00183434">
        <w:rPr>
          <w:rFonts w:cs="Arial"/>
          <w:sz w:val="23"/>
          <w:szCs w:val="23"/>
        </w:rPr>
        <w:tab/>
      </w:r>
      <w:r w:rsidRPr="00183434">
        <w:rPr>
          <w:rFonts w:cs="Arial"/>
          <w:b/>
          <w:sz w:val="23"/>
          <w:szCs w:val="23"/>
          <w:u w:val="single"/>
        </w:rPr>
        <w:t>OFFICERS</w:t>
      </w:r>
      <w:r w:rsidR="002D27AA" w:rsidRPr="00183434">
        <w:rPr>
          <w:rFonts w:cs="Arial"/>
          <w:b/>
          <w:sz w:val="23"/>
          <w:szCs w:val="23"/>
          <w:u w:val="single"/>
        </w:rPr>
        <w:t>’</w:t>
      </w:r>
      <w:r w:rsidRPr="00183434">
        <w:rPr>
          <w:rFonts w:cs="Arial"/>
          <w:b/>
          <w:sz w:val="23"/>
          <w:szCs w:val="23"/>
          <w:u w:val="single"/>
        </w:rPr>
        <w:t xml:space="preserve"> REMUNERATION</w:t>
      </w:r>
    </w:p>
    <w:p w14:paraId="61E58E1B" w14:textId="77777777" w:rsidR="00103D28" w:rsidRPr="00183434" w:rsidRDefault="00103D28" w:rsidP="00183434">
      <w:pPr>
        <w:jc w:val="both"/>
        <w:rPr>
          <w:rFonts w:cs="Arial"/>
          <w:b/>
          <w:sz w:val="23"/>
          <w:szCs w:val="23"/>
          <w:u w:val="single"/>
        </w:rPr>
      </w:pPr>
    </w:p>
    <w:p w14:paraId="7387CC55" w14:textId="566E51F1" w:rsidR="002C4A29" w:rsidRPr="00183434" w:rsidRDefault="002C4A29" w:rsidP="00183434">
      <w:pPr>
        <w:ind w:firstLine="720"/>
        <w:jc w:val="both"/>
        <w:rPr>
          <w:rFonts w:cs="Arial"/>
          <w:b/>
          <w:sz w:val="23"/>
          <w:szCs w:val="23"/>
          <w:highlight w:val="cyan"/>
          <w:u w:val="single"/>
        </w:rPr>
      </w:pPr>
      <w:r w:rsidRPr="00183434">
        <w:rPr>
          <w:rFonts w:cs="Arial"/>
          <w:b/>
          <w:sz w:val="23"/>
          <w:szCs w:val="23"/>
          <w:u w:val="single"/>
        </w:rPr>
        <w:object w:dxaOrig="7809" w:dyaOrig="7057" w14:anchorId="0EC27E27">
          <v:shape id="_x0000_i1126" type="#_x0000_t75" style="width:390.55pt;height:353.1pt" o:ole="">
            <v:imagedata r:id="rId46" o:title=""/>
          </v:shape>
          <o:OLEObject Type="Link" ProgID="Excel.Sheet.12" ShapeID="_x0000_i1126" DrawAspect="Content" r:id="rId47" UpdateMode="Always">
            <o:LinkType>EnhancedMetaFile</o:LinkType>
            <o:LockedField>false</o:LockedField>
            <o:FieldCodes>\* MERGEFORMAT</o:FieldCodes>
          </o:OLEObject>
        </w:object>
      </w:r>
    </w:p>
    <w:p w14:paraId="6E0C6AE5" w14:textId="77777777" w:rsidR="002C4A29" w:rsidRPr="00183434" w:rsidRDefault="002C4A29" w:rsidP="00183434">
      <w:pPr>
        <w:jc w:val="both"/>
        <w:rPr>
          <w:rFonts w:cs="Arial"/>
          <w:b/>
          <w:sz w:val="23"/>
          <w:szCs w:val="23"/>
          <w:highlight w:val="cyan"/>
          <w:u w:val="single"/>
        </w:rPr>
      </w:pPr>
    </w:p>
    <w:p w14:paraId="78618BC2" w14:textId="40697D80" w:rsidR="00386757" w:rsidRPr="00183434" w:rsidRDefault="00386757" w:rsidP="00AD7862">
      <w:pPr>
        <w:ind w:left="720"/>
        <w:jc w:val="both"/>
        <w:rPr>
          <w:rFonts w:cs="Arial"/>
          <w:sz w:val="23"/>
          <w:szCs w:val="23"/>
        </w:rPr>
      </w:pPr>
      <w:r w:rsidRPr="00183434">
        <w:rPr>
          <w:rFonts w:cs="Arial"/>
          <w:sz w:val="23"/>
          <w:szCs w:val="23"/>
        </w:rPr>
        <w:t>The following tables set out the remuneration disclosure for Senior Officers whose salary is less than £150,000 but equal to or more than £50,000 per year</w:t>
      </w:r>
      <w:r w:rsidR="002D27AA" w:rsidRPr="00183434">
        <w:rPr>
          <w:rFonts w:cs="Arial"/>
          <w:sz w:val="23"/>
          <w:szCs w:val="23"/>
        </w:rPr>
        <w:t xml:space="preserve"> (these are also included in the table above)</w:t>
      </w:r>
      <w:r w:rsidRPr="00183434">
        <w:rPr>
          <w:rFonts w:cs="Arial"/>
          <w:sz w:val="23"/>
          <w:szCs w:val="23"/>
        </w:rPr>
        <w:t>.</w:t>
      </w:r>
    </w:p>
    <w:p w14:paraId="513B9487" w14:textId="77777777" w:rsidR="0076102A" w:rsidRPr="00183434" w:rsidRDefault="0076102A" w:rsidP="00183434">
      <w:pPr>
        <w:pStyle w:val="Footer"/>
        <w:tabs>
          <w:tab w:val="clear" w:pos="4153"/>
          <w:tab w:val="clear" w:pos="8306"/>
        </w:tabs>
        <w:ind w:left="720"/>
        <w:jc w:val="both"/>
        <w:rPr>
          <w:rFonts w:cs="Arial"/>
          <w:sz w:val="23"/>
          <w:szCs w:val="23"/>
        </w:rPr>
      </w:pPr>
    </w:p>
    <w:p w14:paraId="044D1BC7" w14:textId="375327CA" w:rsidR="00926F05" w:rsidRPr="00183434" w:rsidRDefault="002C4A29" w:rsidP="00183434">
      <w:pPr>
        <w:pStyle w:val="Footer"/>
        <w:tabs>
          <w:tab w:val="clear" w:pos="4153"/>
          <w:tab w:val="clear" w:pos="8306"/>
        </w:tabs>
        <w:ind w:left="720"/>
        <w:jc w:val="both"/>
        <w:rPr>
          <w:rFonts w:cs="Arial"/>
          <w:sz w:val="23"/>
          <w:szCs w:val="23"/>
        </w:rPr>
      </w:pPr>
      <w:r w:rsidRPr="00183434">
        <w:rPr>
          <w:rFonts w:cs="Arial"/>
          <w:sz w:val="23"/>
          <w:szCs w:val="23"/>
        </w:rPr>
        <w:object w:dxaOrig="14445" w:dyaOrig="3836" w14:anchorId="758507FB">
          <v:shape id="_x0000_i1142" type="#_x0000_t75" style="width:455.05pt;height:120.4pt" o:ole="">
            <v:imagedata r:id="rId48" o:title=""/>
          </v:shape>
          <o:OLEObject Type="Link" ProgID="Excel.Sheet.12" ShapeID="_x0000_i1142" DrawAspect="Content" r:id="rId49" UpdateMode="Always">
            <o:LinkType>EnhancedMetaFile</o:LinkType>
            <o:LockedField>false</o:LockedField>
            <o:FieldCodes>\* MERGEFORMAT</o:FieldCodes>
          </o:OLEObject>
        </w:object>
      </w:r>
    </w:p>
    <w:p w14:paraId="765F7ED2" w14:textId="77777777" w:rsidR="00926F05" w:rsidRPr="00183434" w:rsidRDefault="00926F05" w:rsidP="00183434">
      <w:pPr>
        <w:pStyle w:val="Footer"/>
        <w:tabs>
          <w:tab w:val="clear" w:pos="4153"/>
          <w:tab w:val="clear" w:pos="8306"/>
        </w:tabs>
        <w:ind w:left="720"/>
        <w:jc w:val="both"/>
        <w:rPr>
          <w:rFonts w:cs="Arial"/>
          <w:sz w:val="23"/>
          <w:szCs w:val="23"/>
        </w:rPr>
      </w:pPr>
    </w:p>
    <w:p w14:paraId="52753A32" w14:textId="3B0174D2" w:rsidR="00396973" w:rsidRPr="00183434" w:rsidRDefault="002C4A29" w:rsidP="00183434">
      <w:pPr>
        <w:pStyle w:val="Footer"/>
        <w:tabs>
          <w:tab w:val="clear" w:pos="4153"/>
          <w:tab w:val="clear" w:pos="8306"/>
        </w:tabs>
        <w:ind w:left="720"/>
        <w:jc w:val="both"/>
        <w:rPr>
          <w:rFonts w:cs="Arial"/>
          <w:sz w:val="23"/>
          <w:szCs w:val="23"/>
          <w:highlight w:val="cyan"/>
        </w:rPr>
      </w:pPr>
      <w:r w:rsidRPr="00183434">
        <w:rPr>
          <w:rFonts w:cs="Arial"/>
          <w:sz w:val="23"/>
          <w:szCs w:val="23"/>
        </w:rPr>
        <w:object w:dxaOrig="14445" w:dyaOrig="3836" w14:anchorId="76760422">
          <v:shape id="_x0000_i1138" type="#_x0000_t75" style="width:455.6pt;height:120.95pt" o:ole="">
            <v:imagedata r:id="rId50" o:title=""/>
          </v:shape>
          <o:OLEObject Type="Link" ProgID="Excel.Sheet.12" ShapeID="_x0000_i1138" DrawAspect="Content" r:id="rId51" UpdateMode="Always">
            <o:LinkType>EnhancedMetaFile</o:LinkType>
            <o:LockedField>false</o:LockedField>
            <o:FieldCodes>\* MERGEFORMAT</o:FieldCodes>
          </o:OLEObject>
        </w:object>
      </w:r>
    </w:p>
    <w:p w14:paraId="056C04E7" w14:textId="77777777" w:rsidR="00396973" w:rsidRPr="00183434" w:rsidRDefault="00396973" w:rsidP="00183434">
      <w:pPr>
        <w:pStyle w:val="Footer"/>
        <w:tabs>
          <w:tab w:val="clear" w:pos="4153"/>
          <w:tab w:val="clear" w:pos="8306"/>
        </w:tabs>
        <w:ind w:left="720"/>
        <w:jc w:val="both"/>
        <w:rPr>
          <w:rFonts w:cs="Arial"/>
          <w:sz w:val="23"/>
          <w:szCs w:val="23"/>
          <w:highlight w:val="cyan"/>
        </w:rPr>
      </w:pPr>
    </w:p>
    <w:p w14:paraId="1C2B5599" w14:textId="77777777" w:rsidR="00AA236D" w:rsidRPr="00183434" w:rsidRDefault="00AA236D" w:rsidP="00183434">
      <w:pPr>
        <w:pStyle w:val="Footer"/>
        <w:tabs>
          <w:tab w:val="clear" w:pos="4153"/>
          <w:tab w:val="clear" w:pos="8306"/>
        </w:tabs>
        <w:ind w:left="-567"/>
        <w:jc w:val="both"/>
        <w:rPr>
          <w:rFonts w:cs="Arial"/>
          <w:sz w:val="23"/>
          <w:szCs w:val="23"/>
          <w:highlight w:val="cyan"/>
        </w:rPr>
      </w:pPr>
    </w:p>
    <w:p w14:paraId="457F87FA" w14:textId="77777777" w:rsidR="0006024E" w:rsidRPr="00183434" w:rsidRDefault="0006024E" w:rsidP="00183434">
      <w:pPr>
        <w:pStyle w:val="Footer"/>
        <w:tabs>
          <w:tab w:val="clear" w:pos="4153"/>
          <w:tab w:val="clear" w:pos="8306"/>
        </w:tabs>
        <w:ind w:left="720"/>
        <w:jc w:val="both"/>
        <w:rPr>
          <w:rFonts w:cs="Arial"/>
          <w:sz w:val="23"/>
          <w:szCs w:val="23"/>
        </w:rPr>
      </w:pPr>
      <w:r w:rsidRPr="00183434">
        <w:rPr>
          <w:rFonts w:cs="Arial"/>
          <w:sz w:val="23"/>
          <w:szCs w:val="23"/>
        </w:rPr>
        <w:t>The number of exit packages with total cost per band and total cost of the c</w:t>
      </w:r>
      <w:r w:rsidR="009A6A5B" w:rsidRPr="00183434">
        <w:rPr>
          <w:rFonts w:cs="Arial"/>
          <w:sz w:val="23"/>
          <w:szCs w:val="23"/>
        </w:rPr>
        <w:t>ompulsory and other departures</w:t>
      </w:r>
      <w:r w:rsidRPr="00183434">
        <w:rPr>
          <w:rFonts w:cs="Arial"/>
          <w:sz w:val="23"/>
          <w:szCs w:val="23"/>
        </w:rPr>
        <w:t xml:space="preserve"> are set out in the table below. The total cost has been agreed and charged to the Comprehensive Income &amp; Expenditure Statement in the year indicated. </w:t>
      </w:r>
    </w:p>
    <w:p w14:paraId="489060E7" w14:textId="77777777" w:rsidR="00633F30" w:rsidRPr="00183434" w:rsidRDefault="00633F30" w:rsidP="00183434">
      <w:pPr>
        <w:pStyle w:val="Footer"/>
        <w:tabs>
          <w:tab w:val="clear" w:pos="4153"/>
          <w:tab w:val="clear" w:pos="8306"/>
        </w:tabs>
        <w:jc w:val="both"/>
        <w:rPr>
          <w:rFonts w:cs="Arial"/>
          <w:sz w:val="23"/>
          <w:szCs w:val="23"/>
        </w:rPr>
      </w:pPr>
    </w:p>
    <w:p w14:paraId="4F88D0EE" w14:textId="77777777" w:rsidR="00926F05" w:rsidRPr="00183434" w:rsidRDefault="00926F05" w:rsidP="00183434">
      <w:pPr>
        <w:pStyle w:val="Footer"/>
        <w:tabs>
          <w:tab w:val="clear" w:pos="4153"/>
          <w:tab w:val="clear" w:pos="8306"/>
        </w:tabs>
        <w:jc w:val="both"/>
        <w:rPr>
          <w:rFonts w:cs="Arial"/>
          <w:sz w:val="23"/>
          <w:szCs w:val="23"/>
        </w:rPr>
      </w:pPr>
    </w:p>
    <w:p w14:paraId="65E26B03" w14:textId="2505B832" w:rsidR="00386757" w:rsidRPr="00183434" w:rsidRDefault="00D57F11" w:rsidP="00183434">
      <w:pPr>
        <w:pStyle w:val="Footer"/>
        <w:tabs>
          <w:tab w:val="clear" w:pos="4153"/>
          <w:tab w:val="clear" w:pos="8306"/>
        </w:tabs>
        <w:ind w:firstLine="720"/>
        <w:jc w:val="both"/>
        <w:rPr>
          <w:rFonts w:cs="Arial"/>
          <w:sz w:val="23"/>
          <w:szCs w:val="23"/>
        </w:rPr>
      </w:pPr>
      <w:r>
        <w:rPr>
          <w:rFonts w:cs="Arial"/>
          <w:sz w:val="23"/>
          <w:szCs w:val="23"/>
        </w:rPr>
        <w:object w:dxaOrig="10318" w:dyaOrig="2659" w14:anchorId="6E3A99C1">
          <v:shape id="_x0000_i1522" type="#_x0000_t75" style="width:436.6pt;height:112.9pt" o:ole="">
            <v:imagedata r:id="rId52" o:title=""/>
          </v:shape>
          <o:OLEObject Type="Link" ProgID="Excel.Sheet.12" ShapeID="_x0000_i1522" DrawAspect="Content" r:id="rId53" UpdateMode="Always">
            <o:LinkType>EnhancedMetaFile</o:LinkType>
            <o:LockedField>false</o:LockedField>
          </o:OLEObject>
        </w:object>
      </w:r>
    </w:p>
    <w:p w14:paraId="3A303DEA" w14:textId="77777777" w:rsidR="00EE5DB2" w:rsidRPr="00183434" w:rsidRDefault="00EE5DB2" w:rsidP="00183434">
      <w:pPr>
        <w:pStyle w:val="Footer"/>
        <w:tabs>
          <w:tab w:val="clear" w:pos="4153"/>
          <w:tab w:val="clear" w:pos="8306"/>
        </w:tabs>
        <w:ind w:hanging="567"/>
        <w:jc w:val="both"/>
        <w:rPr>
          <w:rFonts w:cs="Arial"/>
          <w:sz w:val="23"/>
          <w:szCs w:val="23"/>
        </w:rPr>
      </w:pPr>
    </w:p>
    <w:p w14:paraId="67C3FC18" w14:textId="77777777" w:rsidR="00386757" w:rsidRPr="00183434" w:rsidRDefault="00386757" w:rsidP="00183434">
      <w:pPr>
        <w:jc w:val="both"/>
        <w:rPr>
          <w:rFonts w:cs="Arial"/>
          <w:b/>
          <w:sz w:val="23"/>
          <w:szCs w:val="23"/>
          <w:u w:val="single"/>
        </w:rPr>
      </w:pPr>
      <w:r w:rsidRPr="00183434">
        <w:rPr>
          <w:rFonts w:cs="Arial"/>
          <w:sz w:val="23"/>
          <w:szCs w:val="23"/>
        </w:rPr>
        <w:t xml:space="preserve"> </w:t>
      </w:r>
      <w:r w:rsidRPr="00183434">
        <w:rPr>
          <w:rFonts w:cs="Arial"/>
          <w:b/>
          <w:sz w:val="23"/>
          <w:szCs w:val="23"/>
        </w:rPr>
        <w:t>1</w:t>
      </w:r>
      <w:r w:rsidR="001B2752" w:rsidRPr="00183434">
        <w:rPr>
          <w:rFonts w:cs="Arial"/>
          <w:b/>
          <w:sz w:val="23"/>
          <w:szCs w:val="23"/>
        </w:rPr>
        <w:t>6</w:t>
      </w:r>
      <w:r w:rsidRPr="00183434">
        <w:rPr>
          <w:rFonts w:cs="Arial"/>
          <w:sz w:val="23"/>
          <w:szCs w:val="23"/>
        </w:rPr>
        <w:t xml:space="preserve">.     </w:t>
      </w:r>
      <w:r w:rsidRPr="00183434">
        <w:rPr>
          <w:rFonts w:cs="Arial"/>
          <w:b/>
          <w:sz w:val="23"/>
          <w:szCs w:val="23"/>
          <w:u w:val="single"/>
        </w:rPr>
        <w:t>DEFINED BENEFIT PENSION SCHEMES</w:t>
      </w:r>
    </w:p>
    <w:p w14:paraId="64AB0680" w14:textId="77777777" w:rsidR="004050A1" w:rsidRPr="00183434" w:rsidRDefault="00386757" w:rsidP="00183434">
      <w:pPr>
        <w:jc w:val="both"/>
        <w:rPr>
          <w:rFonts w:cs="Arial"/>
          <w:b/>
          <w:sz w:val="23"/>
          <w:szCs w:val="23"/>
        </w:rPr>
      </w:pPr>
      <w:r w:rsidRPr="00183434">
        <w:rPr>
          <w:rFonts w:cs="Arial"/>
          <w:b/>
          <w:sz w:val="23"/>
          <w:szCs w:val="23"/>
        </w:rPr>
        <w:tab/>
      </w:r>
    </w:p>
    <w:p w14:paraId="102537EA" w14:textId="77777777" w:rsidR="00386757" w:rsidRPr="00183434" w:rsidRDefault="00386757" w:rsidP="00183434">
      <w:pPr>
        <w:jc w:val="both"/>
        <w:rPr>
          <w:rFonts w:cs="Arial"/>
          <w:sz w:val="23"/>
          <w:szCs w:val="23"/>
          <w:u w:val="single"/>
        </w:rPr>
      </w:pPr>
      <w:r w:rsidRPr="00183434">
        <w:rPr>
          <w:rFonts w:cs="Arial"/>
          <w:b/>
          <w:sz w:val="23"/>
          <w:szCs w:val="23"/>
        </w:rPr>
        <w:tab/>
      </w:r>
      <w:r w:rsidRPr="00183434">
        <w:rPr>
          <w:rFonts w:cs="Arial"/>
          <w:sz w:val="23"/>
          <w:szCs w:val="23"/>
          <w:u w:val="single"/>
        </w:rPr>
        <w:t>Participation in Pension Scheme</w:t>
      </w:r>
    </w:p>
    <w:p w14:paraId="7EDED68F" w14:textId="77777777" w:rsidR="00386757" w:rsidRPr="00183434" w:rsidRDefault="00386757" w:rsidP="00183434">
      <w:pPr>
        <w:jc w:val="both"/>
        <w:rPr>
          <w:rFonts w:cs="Arial"/>
          <w:sz w:val="23"/>
          <w:szCs w:val="23"/>
          <w:u w:val="single"/>
        </w:rPr>
      </w:pPr>
    </w:p>
    <w:p w14:paraId="45DA21E3" w14:textId="77777777" w:rsidR="00386757" w:rsidRPr="00183434" w:rsidRDefault="00386757" w:rsidP="00183434">
      <w:pPr>
        <w:pStyle w:val="BodyTextIndent3"/>
        <w:jc w:val="both"/>
        <w:rPr>
          <w:rFonts w:cs="Arial"/>
          <w:szCs w:val="23"/>
        </w:rPr>
      </w:pPr>
      <w:r w:rsidRPr="00183434">
        <w:rPr>
          <w:rFonts w:cs="Arial"/>
          <w:szCs w:val="23"/>
        </w:rPr>
        <w:t xml:space="preserve">As part of the terms and conditions of employment of its officers, the authority makes contributions towards the cost </w:t>
      </w:r>
      <w:r w:rsidR="00264CCC" w:rsidRPr="00183434">
        <w:rPr>
          <w:rFonts w:cs="Arial"/>
          <w:szCs w:val="23"/>
        </w:rPr>
        <w:t>of post-</w:t>
      </w:r>
      <w:r w:rsidRPr="00183434">
        <w:rPr>
          <w:rFonts w:cs="Arial"/>
          <w:szCs w:val="23"/>
        </w:rPr>
        <w:t>employment benefits. Although the benefits of this scheme are not actually payable until employees retire, the authority has a commitment to make the payments and to disclose them at the time that employees earn their future entitlement.</w:t>
      </w:r>
    </w:p>
    <w:p w14:paraId="5C52D7B5" w14:textId="77777777" w:rsidR="00386757" w:rsidRPr="00183434" w:rsidRDefault="00386757" w:rsidP="00183434">
      <w:pPr>
        <w:jc w:val="both"/>
        <w:rPr>
          <w:rFonts w:cs="Arial"/>
          <w:sz w:val="23"/>
          <w:szCs w:val="23"/>
        </w:rPr>
      </w:pPr>
    </w:p>
    <w:p w14:paraId="712A1736" w14:textId="77777777" w:rsidR="00386757" w:rsidRPr="00183434" w:rsidRDefault="00386757" w:rsidP="00183434">
      <w:pPr>
        <w:ind w:left="720"/>
        <w:jc w:val="both"/>
        <w:rPr>
          <w:rFonts w:cs="Arial"/>
          <w:b/>
          <w:sz w:val="23"/>
          <w:szCs w:val="23"/>
        </w:rPr>
      </w:pPr>
      <w:r w:rsidRPr="00183434">
        <w:rPr>
          <w:rFonts w:cs="Arial"/>
          <w:sz w:val="23"/>
          <w:szCs w:val="23"/>
        </w:rPr>
        <w:t xml:space="preserve">The Council participates in the Local Government Pension Scheme and Derbyshire County </w:t>
      </w:r>
      <w:r w:rsidR="00426374" w:rsidRPr="00183434">
        <w:rPr>
          <w:rFonts w:cs="Arial"/>
          <w:sz w:val="23"/>
          <w:szCs w:val="23"/>
        </w:rPr>
        <w:t>Council administers the scheme.</w:t>
      </w:r>
      <w:r w:rsidRPr="00183434">
        <w:rPr>
          <w:rFonts w:cs="Arial"/>
          <w:sz w:val="23"/>
          <w:szCs w:val="23"/>
        </w:rPr>
        <w:t xml:space="preserve"> It is a fun</w:t>
      </w:r>
      <w:r w:rsidR="009479AA" w:rsidRPr="00183434">
        <w:rPr>
          <w:rFonts w:cs="Arial"/>
          <w:sz w:val="23"/>
          <w:szCs w:val="23"/>
        </w:rPr>
        <w:t>ded defined benefit career average</w:t>
      </w:r>
      <w:r w:rsidR="00CA21F5" w:rsidRPr="00183434">
        <w:rPr>
          <w:rFonts w:cs="Arial"/>
          <w:sz w:val="23"/>
          <w:szCs w:val="23"/>
        </w:rPr>
        <w:t xml:space="preserve"> revalued earnings</w:t>
      </w:r>
      <w:r w:rsidRPr="00183434">
        <w:rPr>
          <w:rFonts w:cs="Arial"/>
          <w:sz w:val="23"/>
          <w:szCs w:val="23"/>
        </w:rPr>
        <w:t xml:space="preserve"> scheme, meaning that the Council and employees pay contributions into the Fund, calculated at a level intended to balance the pension liabilities with investment assets.  </w:t>
      </w:r>
    </w:p>
    <w:p w14:paraId="76C9785C" w14:textId="77777777" w:rsidR="00386757" w:rsidRPr="00183434" w:rsidRDefault="00386757" w:rsidP="00183434">
      <w:pPr>
        <w:ind w:left="720"/>
        <w:jc w:val="both"/>
        <w:rPr>
          <w:rFonts w:cs="Arial"/>
          <w:b/>
          <w:sz w:val="23"/>
          <w:szCs w:val="23"/>
        </w:rPr>
      </w:pPr>
    </w:p>
    <w:p w14:paraId="2A1B6A78" w14:textId="77777777" w:rsidR="008F5807" w:rsidRPr="00183434" w:rsidRDefault="00386757" w:rsidP="00183434">
      <w:pPr>
        <w:ind w:left="720"/>
        <w:jc w:val="both"/>
        <w:rPr>
          <w:rFonts w:cs="Arial"/>
          <w:sz w:val="23"/>
          <w:szCs w:val="23"/>
        </w:rPr>
      </w:pPr>
      <w:r w:rsidRPr="00183434">
        <w:rPr>
          <w:rFonts w:cs="Arial"/>
          <w:sz w:val="23"/>
          <w:szCs w:val="23"/>
        </w:rPr>
        <w:t>The Derbyshire pension sche</w:t>
      </w:r>
      <w:r w:rsidR="00015D77" w:rsidRPr="00183434">
        <w:rPr>
          <w:rFonts w:cs="Arial"/>
          <w:sz w:val="23"/>
          <w:szCs w:val="23"/>
        </w:rPr>
        <w:t>me is operated under the regul</w:t>
      </w:r>
      <w:r w:rsidRPr="00183434">
        <w:rPr>
          <w:rFonts w:cs="Arial"/>
          <w:sz w:val="23"/>
          <w:szCs w:val="23"/>
        </w:rPr>
        <w:t xml:space="preserve">atory framework for the Local Government Pension </w:t>
      </w:r>
      <w:proofErr w:type="gramStart"/>
      <w:r w:rsidRPr="00183434">
        <w:rPr>
          <w:rFonts w:cs="Arial"/>
          <w:sz w:val="23"/>
          <w:szCs w:val="23"/>
        </w:rPr>
        <w:t>Scheme</w:t>
      </w:r>
      <w:proofErr w:type="gramEnd"/>
      <w:r w:rsidRPr="00183434">
        <w:rPr>
          <w:rFonts w:cs="Arial"/>
          <w:sz w:val="23"/>
          <w:szCs w:val="23"/>
        </w:rPr>
        <w:t xml:space="preserve"> and the governance of the scheme is the responsibility of the Pensions Committee of Derbyshire County Council. Policy is determined in accordance with the Pensions Fund Regulations. </w:t>
      </w:r>
    </w:p>
    <w:p w14:paraId="78D0399C" w14:textId="77777777" w:rsidR="001319A4" w:rsidRPr="00183434" w:rsidRDefault="001319A4" w:rsidP="00183434">
      <w:pPr>
        <w:ind w:left="720"/>
        <w:jc w:val="both"/>
        <w:rPr>
          <w:rFonts w:cs="Arial"/>
          <w:sz w:val="23"/>
          <w:szCs w:val="23"/>
        </w:rPr>
      </w:pPr>
    </w:p>
    <w:p w14:paraId="673F0277" w14:textId="77777777" w:rsidR="00386757" w:rsidRPr="00183434" w:rsidRDefault="00386757" w:rsidP="00183434">
      <w:pPr>
        <w:ind w:left="720"/>
        <w:jc w:val="both"/>
        <w:rPr>
          <w:rFonts w:cs="Arial"/>
          <w:sz w:val="23"/>
          <w:szCs w:val="23"/>
          <w:u w:val="single"/>
        </w:rPr>
      </w:pPr>
      <w:r w:rsidRPr="00183434">
        <w:rPr>
          <w:rFonts w:cs="Arial"/>
          <w:sz w:val="23"/>
          <w:szCs w:val="23"/>
          <w:u w:val="single"/>
        </w:rPr>
        <w:t>Transactions Relating to Post-employment Benefits</w:t>
      </w:r>
    </w:p>
    <w:p w14:paraId="774E858A" w14:textId="77777777" w:rsidR="00386757" w:rsidRPr="00183434" w:rsidRDefault="00386757" w:rsidP="00183434">
      <w:pPr>
        <w:ind w:left="720"/>
        <w:jc w:val="both"/>
        <w:rPr>
          <w:rFonts w:cs="Arial"/>
          <w:b/>
          <w:sz w:val="23"/>
          <w:szCs w:val="23"/>
        </w:rPr>
      </w:pPr>
    </w:p>
    <w:p w14:paraId="1A65F812" w14:textId="77777777" w:rsidR="004050A1" w:rsidRPr="00183434" w:rsidRDefault="00386757" w:rsidP="00183434">
      <w:pPr>
        <w:ind w:left="720"/>
        <w:jc w:val="both"/>
        <w:rPr>
          <w:rFonts w:cs="Arial"/>
          <w:sz w:val="23"/>
          <w:szCs w:val="23"/>
        </w:rPr>
      </w:pPr>
      <w:r w:rsidRPr="00183434">
        <w:rPr>
          <w:rFonts w:cs="Arial"/>
          <w:sz w:val="23"/>
          <w:szCs w:val="23"/>
        </w:rPr>
        <w:t>The</w:t>
      </w:r>
      <w:r w:rsidR="0027515B" w:rsidRPr="00183434">
        <w:rPr>
          <w:rFonts w:cs="Arial"/>
          <w:sz w:val="23"/>
          <w:szCs w:val="23"/>
        </w:rPr>
        <w:t xml:space="preserve"> cost of retirement benefits is</w:t>
      </w:r>
      <w:r w:rsidRPr="00183434">
        <w:rPr>
          <w:rFonts w:cs="Arial"/>
          <w:sz w:val="23"/>
          <w:szCs w:val="23"/>
        </w:rPr>
        <w:t xml:space="preserve"> recognised in the reported cost of services when they are earned by employees, rather than when the benefits are eventually paid as pens</w:t>
      </w:r>
      <w:r w:rsidR="00251478" w:rsidRPr="00183434">
        <w:rPr>
          <w:rFonts w:cs="Arial"/>
          <w:sz w:val="23"/>
          <w:szCs w:val="23"/>
        </w:rPr>
        <w:t>ions. However, the charge that is required to be made</w:t>
      </w:r>
      <w:r w:rsidRPr="00183434">
        <w:rPr>
          <w:rFonts w:cs="Arial"/>
          <w:sz w:val="23"/>
          <w:szCs w:val="23"/>
        </w:rPr>
        <w:t xml:space="preserve"> against the council tax is based on the cash payable to the pension fund in the year, so the real cost of post-employment/retirement benefits is reversed out of the General Fund via the Movement in Reserves Statement. The following transactions have been made in the Comprehensive Income &amp; Expenditure Statement and the General Fund Balance via the Movement in Reserves Statement during the </w:t>
      </w:r>
      <w:proofErr w:type="gramStart"/>
      <w:r w:rsidRPr="00183434">
        <w:rPr>
          <w:rFonts w:cs="Arial"/>
          <w:sz w:val="23"/>
          <w:szCs w:val="23"/>
        </w:rPr>
        <w:t>year:-</w:t>
      </w:r>
      <w:proofErr w:type="gramEnd"/>
    </w:p>
    <w:p w14:paraId="54EA849C" w14:textId="77777777" w:rsidR="0077350B" w:rsidRPr="00183434" w:rsidRDefault="0077350B" w:rsidP="00183434">
      <w:pPr>
        <w:ind w:left="720"/>
        <w:jc w:val="both"/>
        <w:rPr>
          <w:rFonts w:cs="Arial"/>
          <w:sz w:val="23"/>
          <w:szCs w:val="23"/>
        </w:rPr>
      </w:pPr>
    </w:p>
    <w:p w14:paraId="43EE25BF" w14:textId="77777777" w:rsidR="007A0945" w:rsidRPr="00183434" w:rsidRDefault="007A0945" w:rsidP="00183434">
      <w:pPr>
        <w:jc w:val="both"/>
        <w:rPr>
          <w:rFonts w:cs="Arial"/>
          <w:sz w:val="23"/>
          <w:szCs w:val="23"/>
        </w:rPr>
      </w:pPr>
    </w:p>
    <w:p w14:paraId="222AD865" w14:textId="7506FA96" w:rsidR="004050A1" w:rsidRPr="00183434" w:rsidRDefault="00A61A6A" w:rsidP="00183434">
      <w:pPr>
        <w:ind w:right="-264" w:firstLine="720"/>
        <w:jc w:val="both"/>
        <w:rPr>
          <w:rFonts w:cs="Arial"/>
          <w:sz w:val="23"/>
          <w:szCs w:val="23"/>
        </w:rPr>
      </w:pPr>
      <w:r w:rsidRPr="00183434">
        <w:rPr>
          <w:rFonts w:cs="Arial"/>
          <w:sz w:val="23"/>
          <w:szCs w:val="23"/>
        </w:rPr>
        <w:object w:dxaOrig="10510" w:dyaOrig="5820" w14:anchorId="10F8C794">
          <v:shape id="_x0000_i1045" type="#_x0000_t75" style="width:434.3pt;height:237.9pt" o:ole="">
            <v:imagedata r:id="rId54" o:title=""/>
          </v:shape>
          <o:OLEObject Type="Link" ProgID="Excel.Sheet.12" ShapeID="_x0000_i1045" DrawAspect="Content" r:id="rId55" UpdateMode="Always">
            <o:LinkType>EnhancedMetaFile</o:LinkType>
            <o:LockedField>false</o:LockedField>
            <o:FieldCodes>\* MERGEFORMAT</o:FieldCodes>
          </o:OLEObject>
        </w:object>
      </w:r>
    </w:p>
    <w:p w14:paraId="60BC6385" w14:textId="77777777" w:rsidR="00555D9D" w:rsidRPr="00183434" w:rsidRDefault="00555D9D" w:rsidP="00183434">
      <w:pPr>
        <w:ind w:left="720"/>
        <w:jc w:val="both"/>
        <w:rPr>
          <w:rFonts w:cs="Arial"/>
          <w:sz w:val="23"/>
          <w:szCs w:val="23"/>
          <w:highlight w:val="cyan"/>
        </w:rPr>
      </w:pPr>
    </w:p>
    <w:p w14:paraId="3642D470" w14:textId="75E7C6DC" w:rsidR="00307802" w:rsidRPr="00183434" w:rsidRDefault="00A61A6A" w:rsidP="00183434">
      <w:pPr>
        <w:ind w:firstLine="709"/>
        <w:jc w:val="both"/>
        <w:rPr>
          <w:rFonts w:cs="Arial"/>
          <w:sz w:val="23"/>
          <w:szCs w:val="23"/>
        </w:rPr>
      </w:pPr>
      <w:r w:rsidRPr="00183434">
        <w:rPr>
          <w:rFonts w:cs="Arial"/>
          <w:sz w:val="23"/>
          <w:szCs w:val="23"/>
        </w:rPr>
        <w:object w:dxaOrig="10510" w:dyaOrig="1510" w14:anchorId="2806CF3F">
          <v:shape id="_x0000_i1046" type="#_x0000_t75" style="width:6in;height:61.65pt" o:ole="">
            <v:imagedata r:id="rId56" o:title=""/>
          </v:shape>
          <o:OLEObject Type="Link" ProgID="Excel.Sheet.12" ShapeID="_x0000_i1046" DrawAspect="Content" r:id="rId57" UpdateMode="Always">
            <o:LinkType>EnhancedMetaFile</o:LinkType>
            <o:LockedField>false</o:LockedField>
            <o:FieldCodes>\* MERGEFORMAT</o:FieldCodes>
          </o:OLEObject>
        </w:object>
      </w:r>
    </w:p>
    <w:p w14:paraId="752385A7" w14:textId="77777777" w:rsidR="00AB4260" w:rsidRPr="00183434" w:rsidRDefault="00AB4260" w:rsidP="00183434">
      <w:pPr>
        <w:ind w:left="284" w:firstLine="425"/>
        <w:jc w:val="both"/>
        <w:rPr>
          <w:rFonts w:cs="Arial"/>
          <w:sz w:val="23"/>
          <w:szCs w:val="23"/>
          <w:highlight w:val="cyan"/>
          <w:u w:val="single"/>
        </w:rPr>
      </w:pPr>
    </w:p>
    <w:p w14:paraId="217330F8" w14:textId="19BFFB97" w:rsidR="00386757" w:rsidRPr="00183434" w:rsidRDefault="00386757" w:rsidP="00183434">
      <w:pPr>
        <w:ind w:left="284" w:firstLine="425"/>
        <w:jc w:val="both"/>
        <w:rPr>
          <w:rFonts w:cs="Arial"/>
          <w:sz w:val="23"/>
          <w:szCs w:val="23"/>
          <w:u w:val="single"/>
        </w:rPr>
      </w:pPr>
      <w:r w:rsidRPr="00183434">
        <w:rPr>
          <w:rFonts w:cs="Arial"/>
          <w:sz w:val="23"/>
          <w:szCs w:val="23"/>
          <w:u w:val="single"/>
        </w:rPr>
        <w:t>Pension Assets and Liabilities Recognised in the Balance Sheet</w:t>
      </w:r>
    </w:p>
    <w:p w14:paraId="5B2A6326" w14:textId="77777777" w:rsidR="00386757" w:rsidRPr="00183434" w:rsidRDefault="00386757" w:rsidP="00183434">
      <w:pPr>
        <w:jc w:val="both"/>
        <w:rPr>
          <w:rFonts w:cs="Arial"/>
          <w:sz w:val="23"/>
          <w:szCs w:val="23"/>
          <w:u w:val="single"/>
        </w:rPr>
      </w:pPr>
    </w:p>
    <w:p w14:paraId="042A8678" w14:textId="77777777" w:rsidR="0069718A" w:rsidRPr="00183434" w:rsidRDefault="00386757" w:rsidP="00183434">
      <w:pPr>
        <w:ind w:left="720"/>
        <w:jc w:val="both"/>
        <w:rPr>
          <w:rFonts w:cs="Arial"/>
          <w:sz w:val="23"/>
          <w:szCs w:val="23"/>
        </w:rPr>
      </w:pPr>
      <w:r w:rsidRPr="00183434">
        <w:rPr>
          <w:rFonts w:cs="Arial"/>
          <w:sz w:val="23"/>
          <w:szCs w:val="23"/>
        </w:rPr>
        <w:t>The amount included in the Balance Sheet arising from the authority’s obligation in respect of its defined benefit plans is as follows:</w:t>
      </w:r>
    </w:p>
    <w:p w14:paraId="6E755F04" w14:textId="77777777" w:rsidR="00344C8D" w:rsidRPr="00183434" w:rsidRDefault="00344C8D" w:rsidP="00183434">
      <w:pPr>
        <w:jc w:val="both"/>
        <w:rPr>
          <w:rFonts w:cs="Arial"/>
          <w:sz w:val="23"/>
          <w:szCs w:val="23"/>
        </w:rPr>
      </w:pPr>
    </w:p>
    <w:p w14:paraId="27CB09DA" w14:textId="442DEF7E" w:rsidR="00555D9D" w:rsidRPr="00183434" w:rsidRDefault="00257E9C" w:rsidP="00183434">
      <w:pPr>
        <w:ind w:firstLine="720"/>
        <w:jc w:val="both"/>
        <w:rPr>
          <w:rFonts w:cs="Arial"/>
          <w:sz w:val="23"/>
          <w:szCs w:val="23"/>
          <w:highlight w:val="cyan"/>
        </w:rPr>
      </w:pPr>
      <w:r w:rsidRPr="00183434">
        <w:rPr>
          <w:rFonts w:cs="Arial"/>
          <w:sz w:val="23"/>
          <w:szCs w:val="23"/>
        </w:rPr>
        <w:object w:dxaOrig="10090" w:dyaOrig="1870" w14:anchorId="0DC7BF63">
          <v:shape id="_x0000_i1047" type="#_x0000_t75" style="width:429.7pt;height:79.5pt" o:ole="">
            <v:imagedata r:id="rId58" o:title=""/>
          </v:shape>
          <o:OLEObject Type="Link" ProgID="Excel.Sheet.12" ShapeID="_x0000_i1047" DrawAspect="Content" r:id="rId59" UpdateMode="Always">
            <o:LinkType>EnhancedMetaFile</o:LinkType>
            <o:LockedField>false</o:LockedField>
            <o:FieldCodes>\* MERGEFORMAT</o:FieldCodes>
          </o:OLEObject>
        </w:object>
      </w:r>
    </w:p>
    <w:p w14:paraId="5C20B5DB" w14:textId="77777777" w:rsidR="00C8507F" w:rsidRPr="00183434" w:rsidRDefault="00C8507F" w:rsidP="00183434">
      <w:pPr>
        <w:ind w:firstLine="720"/>
        <w:jc w:val="both"/>
        <w:rPr>
          <w:rFonts w:cs="Arial"/>
          <w:sz w:val="23"/>
          <w:szCs w:val="23"/>
          <w:highlight w:val="cyan"/>
          <w:u w:val="single"/>
        </w:rPr>
      </w:pPr>
    </w:p>
    <w:p w14:paraId="12C4423A" w14:textId="77777777" w:rsidR="008F5807" w:rsidRPr="00183434" w:rsidRDefault="00386757" w:rsidP="00183434">
      <w:pPr>
        <w:jc w:val="both"/>
        <w:rPr>
          <w:rFonts w:cs="Arial"/>
          <w:sz w:val="23"/>
          <w:szCs w:val="23"/>
        </w:rPr>
      </w:pPr>
      <w:r w:rsidRPr="00183434">
        <w:rPr>
          <w:rFonts w:cs="Arial"/>
          <w:sz w:val="23"/>
          <w:szCs w:val="23"/>
        </w:rPr>
        <w:tab/>
      </w:r>
    </w:p>
    <w:p w14:paraId="7EFB223C" w14:textId="3874B4E4" w:rsidR="00C50F92" w:rsidRPr="00183434" w:rsidRDefault="00257E9C" w:rsidP="00183434">
      <w:pPr>
        <w:ind w:firstLine="720"/>
        <w:jc w:val="both"/>
        <w:rPr>
          <w:rFonts w:cs="Arial"/>
          <w:sz w:val="23"/>
          <w:szCs w:val="23"/>
        </w:rPr>
      </w:pPr>
      <w:r w:rsidRPr="00183434">
        <w:rPr>
          <w:rFonts w:cs="Arial"/>
          <w:sz w:val="23"/>
          <w:szCs w:val="23"/>
        </w:rPr>
        <w:object w:dxaOrig="10090" w:dyaOrig="4040" w14:anchorId="50627CF5">
          <v:shape id="_x0000_i1048" type="#_x0000_t75" style="width:429.7pt;height:170.5pt" o:ole="">
            <v:imagedata r:id="rId60" o:title=""/>
          </v:shape>
          <o:OLEObject Type="Link" ProgID="Excel.Sheet.12" ShapeID="_x0000_i1048" DrawAspect="Content" r:id="rId61" UpdateMode="Always">
            <o:LinkType>EnhancedMetaFile</o:LinkType>
            <o:LockedField>false</o:LockedField>
            <o:FieldCodes>\* MERGEFORMAT</o:FieldCodes>
          </o:OLEObject>
        </w:object>
      </w:r>
    </w:p>
    <w:p w14:paraId="67ADEF01" w14:textId="26B3174A" w:rsidR="004056B0" w:rsidRDefault="00386757" w:rsidP="00183434">
      <w:pPr>
        <w:jc w:val="both"/>
        <w:rPr>
          <w:rFonts w:cs="Arial"/>
          <w:sz w:val="23"/>
          <w:szCs w:val="23"/>
        </w:rPr>
      </w:pPr>
      <w:r w:rsidRPr="00183434">
        <w:rPr>
          <w:rFonts w:cs="Arial"/>
          <w:sz w:val="23"/>
          <w:szCs w:val="23"/>
        </w:rPr>
        <w:tab/>
      </w:r>
    </w:p>
    <w:p w14:paraId="3C4471B8" w14:textId="77777777" w:rsidR="00257E9C" w:rsidRDefault="00257E9C" w:rsidP="00183434">
      <w:pPr>
        <w:jc w:val="both"/>
        <w:rPr>
          <w:rFonts w:cs="Arial"/>
          <w:sz w:val="23"/>
          <w:szCs w:val="23"/>
        </w:rPr>
      </w:pPr>
    </w:p>
    <w:p w14:paraId="203EC94D" w14:textId="77777777" w:rsidR="00257E9C" w:rsidRDefault="00257E9C" w:rsidP="00183434">
      <w:pPr>
        <w:jc w:val="both"/>
        <w:rPr>
          <w:rFonts w:cs="Arial"/>
          <w:sz w:val="23"/>
          <w:szCs w:val="23"/>
        </w:rPr>
      </w:pPr>
    </w:p>
    <w:p w14:paraId="319665D3" w14:textId="77777777" w:rsidR="00257E9C" w:rsidRDefault="00257E9C" w:rsidP="00183434">
      <w:pPr>
        <w:jc w:val="both"/>
        <w:rPr>
          <w:rFonts w:cs="Arial"/>
          <w:sz w:val="23"/>
          <w:szCs w:val="23"/>
        </w:rPr>
      </w:pPr>
    </w:p>
    <w:p w14:paraId="6713D490" w14:textId="77777777" w:rsidR="00257E9C" w:rsidRPr="00183434" w:rsidRDefault="00257E9C" w:rsidP="00183434">
      <w:pPr>
        <w:jc w:val="both"/>
        <w:rPr>
          <w:rFonts w:cs="Arial"/>
          <w:sz w:val="23"/>
          <w:szCs w:val="23"/>
          <w:u w:val="single"/>
        </w:rPr>
      </w:pPr>
    </w:p>
    <w:p w14:paraId="2E8EA4B8" w14:textId="58366788" w:rsidR="008F5807" w:rsidRPr="00183434" w:rsidRDefault="00A61A6A" w:rsidP="00183434">
      <w:pPr>
        <w:ind w:firstLine="720"/>
        <w:jc w:val="both"/>
        <w:rPr>
          <w:rFonts w:cs="Arial"/>
          <w:sz w:val="23"/>
          <w:szCs w:val="23"/>
        </w:rPr>
      </w:pPr>
      <w:r w:rsidRPr="00183434">
        <w:rPr>
          <w:rFonts w:cs="Arial"/>
          <w:sz w:val="23"/>
          <w:szCs w:val="23"/>
        </w:rPr>
        <w:object w:dxaOrig="10090" w:dyaOrig="4350" w14:anchorId="63DE18EA">
          <v:shape id="_x0000_i1049" type="#_x0000_t75" style="width:432.6pt;height:184.9pt" o:ole="">
            <v:imagedata r:id="rId62" o:title=""/>
          </v:shape>
          <o:OLEObject Type="Link" ProgID="Excel.Sheet.12" ShapeID="_x0000_i1049" DrawAspect="Content" r:id="rId63" UpdateMode="Always">
            <o:LinkType>EnhancedMetaFile</o:LinkType>
            <o:LockedField>false</o:LockedField>
            <o:FieldCodes>\* MERGEFORMAT</o:FieldCodes>
          </o:OLEObject>
        </w:object>
      </w:r>
    </w:p>
    <w:p w14:paraId="3151E7A8" w14:textId="77777777" w:rsidR="00AE5495" w:rsidRPr="00183434" w:rsidRDefault="00AE5495" w:rsidP="00183434">
      <w:pPr>
        <w:ind w:left="720"/>
        <w:jc w:val="both"/>
        <w:rPr>
          <w:rFonts w:cs="Arial"/>
          <w:sz w:val="23"/>
          <w:szCs w:val="23"/>
          <w:highlight w:val="cyan"/>
          <w:u w:val="single"/>
        </w:rPr>
      </w:pPr>
    </w:p>
    <w:p w14:paraId="47D40A02" w14:textId="3E38BE91" w:rsidR="00386757" w:rsidRPr="00183434" w:rsidRDefault="00927CA3" w:rsidP="00183434">
      <w:pPr>
        <w:ind w:left="720"/>
        <w:jc w:val="both"/>
        <w:rPr>
          <w:rFonts w:cs="Arial"/>
          <w:sz w:val="23"/>
          <w:szCs w:val="23"/>
          <w:u w:val="single"/>
        </w:rPr>
      </w:pPr>
      <w:r w:rsidRPr="00183434">
        <w:rPr>
          <w:rFonts w:cs="Arial"/>
          <w:sz w:val="23"/>
          <w:szCs w:val="23"/>
          <w:u w:val="single"/>
        </w:rPr>
        <w:t>Lo</w:t>
      </w:r>
      <w:r w:rsidR="00386757" w:rsidRPr="00183434">
        <w:rPr>
          <w:rFonts w:cs="Arial"/>
          <w:sz w:val="23"/>
          <w:szCs w:val="23"/>
          <w:u w:val="single"/>
        </w:rPr>
        <w:t>cal Government Pension Scheme Assets</w:t>
      </w:r>
    </w:p>
    <w:p w14:paraId="2C90CB57" w14:textId="77777777" w:rsidR="001A2BAE" w:rsidRPr="00183434" w:rsidRDefault="001A2BAE" w:rsidP="00183434">
      <w:pPr>
        <w:ind w:left="720"/>
        <w:jc w:val="both"/>
        <w:rPr>
          <w:rFonts w:cs="Arial"/>
          <w:sz w:val="23"/>
          <w:szCs w:val="23"/>
          <w:highlight w:val="cyan"/>
        </w:rPr>
      </w:pPr>
    </w:p>
    <w:p w14:paraId="673D05EF" w14:textId="1E7ECCB3" w:rsidR="00386757" w:rsidRPr="00183434" w:rsidRDefault="00386757" w:rsidP="00183434">
      <w:pPr>
        <w:ind w:firstLine="720"/>
        <w:jc w:val="both"/>
        <w:rPr>
          <w:rFonts w:cs="Arial"/>
          <w:sz w:val="23"/>
          <w:szCs w:val="23"/>
          <w:u w:val="single"/>
        </w:rPr>
      </w:pPr>
      <w:r w:rsidRPr="00183434">
        <w:rPr>
          <w:rFonts w:cs="Arial"/>
          <w:sz w:val="23"/>
          <w:szCs w:val="23"/>
          <w:u w:val="single"/>
        </w:rPr>
        <w:t>Basis for Estimating Assets and Liabilities</w:t>
      </w:r>
    </w:p>
    <w:p w14:paraId="2B1984BB" w14:textId="77777777" w:rsidR="00386757" w:rsidRPr="00183434" w:rsidRDefault="00386757" w:rsidP="00183434">
      <w:pPr>
        <w:jc w:val="both"/>
        <w:rPr>
          <w:rFonts w:cs="Arial"/>
          <w:sz w:val="23"/>
          <w:szCs w:val="23"/>
        </w:rPr>
      </w:pPr>
    </w:p>
    <w:p w14:paraId="0D05CAC9" w14:textId="58A6DFB4" w:rsidR="00386757" w:rsidRPr="00183434" w:rsidRDefault="00386757" w:rsidP="00183434">
      <w:pPr>
        <w:ind w:left="720"/>
        <w:jc w:val="both"/>
        <w:rPr>
          <w:rFonts w:cs="Arial"/>
          <w:sz w:val="23"/>
          <w:szCs w:val="23"/>
        </w:rPr>
      </w:pPr>
      <w:r w:rsidRPr="00183434">
        <w:rPr>
          <w:rFonts w:cs="Arial"/>
          <w:sz w:val="23"/>
          <w:szCs w:val="23"/>
        </w:rPr>
        <w:t xml:space="preserve">Liabilities have been assessed on an actuarial basis using the projected unit credit method, an estimate of the pensions payable in future years dependent on assumptions about mortality rates, salary levels etc. The scheme has been assessed by Hymans Robertson, an independent firm of actuaries, based on the latest full valuation of the scheme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0069718A" w:rsidRPr="00183434">
        <w:rPr>
          <w:rFonts w:cs="Arial"/>
          <w:sz w:val="23"/>
          <w:szCs w:val="23"/>
        </w:rPr>
        <w:t xml:space="preserve"> March 20</w:t>
      </w:r>
      <w:r w:rsidR="00211044" w:rsidRPr="00183434">
        <w:rPr>
          <w:rFonts w:cs="Arial"/>
          <w:sz w:val="23"/>
          <w:szCs w:val="23"/>
        </w:rPr>
        <w:t>2</w:t>
      </w:r>
      <w:r w:rsidR="008A7457" w:rsidRPr="00183434">
        <w:rPr>
          <w:rFonts w:cs="Arial"/>
          <w:sz w:val="23"/>
          <w:szCs w:val="23"/>
        </w:rPr>
        <w:t>6</w:t>
      </w:r>
      <w:r w:rsidRPr="00183434">
        <w:rPr>
          <w:rFonts w:cs="Arial"/>
          <w:sz w:val="23"/>
          <w:szCs w:val="23"/>
        </w:rPr>
        <w:t>.</w:t>
      </w:r>
    </w:p>
    <w:p w14:paraId="3241341F" w14:textId="77777777" w:rsidR="007A0945" w:rsidRPr="00183434" w:rsidRDefault="007A0945" w:rsidP="00183434">
      <w:pPr>
        <w:ind w:left="720"/>
        <w:jc w:val="both"/>
        <w:rPr>
          <w:rFonts w:cs="Arial"/>
          <w:sz w:val="23"/>
          <w:szCs w:val="23"/>
        </w:rPr>
      </w:pPr>
    </w:p>
    <w:p w14:paraId="0A795E75" w14:textId="77777777" w:rsidR="007A0945" w:rsidRDefault="007A0945" w:rsidP="00183434">
      <w:pPr>
        <w:ind w:left="720"/>
        <w:jc w:val="both"/>
        <w:rPr>
          <w:rFonts w:cs="Arial"/>
          <w:sz w:val="23"/>
          <w:szCs w:val="23"/>
        </w:rPr>
      </w:pPr>
      <w:r w:rsidRPr="00183434">
        <w:rPr>
          <w:rFonts w:cs="Arial"/>
          <w:sz w:val="23"/>
          <w:szCs w:val="23"/>
        </w:rPr>
        <w:t xml:space="preserve">The actuaries’ valuation report includes an assessment of the impact of the McCloud judgement relating to the 2014 reforms of LGPS benefits. </w:t>
      </w:r>
    </w:p>
    <w:p w14:paraId="5564E125" w14:textId="77777777" w:rsidR="00257E9C" w:rsidRPr="00183434" w:rsidRDefault="00257E9C" w:rsidP="00183434">
      <w:pPr>
        <w:ind w:left="720"/>
        <w:jc w:val="both"/>
        <w:rPr>
          <w:rFonts w:cs="Arial"/>
          <w:sz w:val="23"/>
          <w:szCs w:val="23"/>
        </w:rPr>
      </w:pPr>
    </w:p>
    <w:p w14:paraId="069E3E4D" w14:textId="3F015AD7" w:rsidR="00AB4260" w:rsidRPr="00183434" w:rsidRDefault="00257E9C" w:rsidP="00183434">
      <w:pPr>
        <w:ind w:left="720"/>
        <w:jc w:val="both"/>
        <w:rPr>
          <w:rFonts w:cs="Arial"/>
          <w:sz w:val="23"/>
          <w:szCs w:val="23"/>
        </w:rPr>
      </w:pPr>
      <w:r w:rsidRPr="00183434">
        <w:rPr>
          <w:rFonts w:cs="Arial"/>
          <w:sz w:val="23"/>
          <w:szCs w:val="23"/>
        </w:rPr>
        <w:object w:dxaOrig="11460" w:dyaOrig="9790" w14:anchorId="3DDE1EC3">
          <v:shape id="_x0000_i1050" type="#_x0000_t75" style="width:406.1pt;height:346.75pt" o:ole="">
            <v:imagedata r:id="rId64" o:title=""/>
          </v:shape>
          <o:OLEObject Type="Link" ProgID="Excel.Sheet.12" ShapeID="_x0000_i1050" DrawAspect="Content" r:id="rId65" UpdateMode="Always">
            <o:LinkType>EnhancedMetaFile</o:LinkType>
            <o:LockedField>false</o:LockedField>
            <o:FieldCodes>\* MERGEFORMAT</o:FieldCodes>
          </o:OLEObject>
        </w:object>
      </w:r>
    </w:p>
    <w:p w14:paraId="6AA5E911" w14:textId="14E0DE66" w:rsidR="00386757" w:rsidRPr="00183434" w:rsidRDefault="00386757" w:rsidP="00183434">
      <w:pPr>
        <w:ind w:left="720"/>
        <w:jc w:val="both"/>
        <w:rPr>
          <w:rFonts w:cs="Arial"/>
          <w:sz w:val="23"/>
          <w:szCs w:val="23"/>
        </w:rPr>
      </w:pPr>
      <w:r w:rsidRPr="00183434">
        <w:rPr>
          <w:rFonts w:cs="Arial"/>
          <w:sz w:val="23"/>
          <w:szCs w:val="23"/>
        </w:rPr>
        <w:lastRenderedPageBreak/>
        <w:t>The significant assumptions used by the actuary are:</w:t>
      </w:r>
    </w:p>
    <w:p w14:paraId="499C63EB" w14:textId="77777777" w:rsidR="0006558D" w:rsidRPr="00183434" w:rsidRDefault="0006558D" w:rsidP="00183434">
      <w:pPr>
        <w:jc w:val="both"/>
        <w:rPr>
          <w:rFonts w:cs="Arial"/>
          <w:sz w:val="23"/>
          <w:szCs w:val="23"/>
        </w:rPr>
      </w:pPr>
    </w:p>
    <w:p w14:paraId="0FB201EB" w14:textId="01644116" w:rsidR="00386757" w:rsidRPr="00183434" w:rsidRDefault="00A61A6A" w:rsidP="00183434">
      <w:pPr>
        <w:ind w:firstLine="709"/>
        <w:jc w:val="both"/>
        <w:rPr>
          <w:rFonts w:cs="Arial"/>
          <w:sz w:val="23"/>
          <w:szCs w:val="23"/>
          <w:highlight w:val="cyan"/>
        </w:rPr>
      </w:pPr>
      <w:r w:rsidRPr="00183434">
        <w:rPr>
          <w:rFonts w:cs="Arial"/>
          <w:sz w:val="23"/>
          <w:szCs w:val="23"/>
        </w:rPr>
        <w:object w:dxaOrig="8200" w:dyaOrig="4330" w14:anchorId="4CC625ED">
          <v:shape id="_x0000_i1051" type="#_x0000_t75" style="width:421.05pt;height:216.6pt" o:ole="">
            <v:imagedata r:id="rId66" o:title=""/>
          </v:shape>
          <o:OLEObject Type="Link" ProgID="Excel.Sheet.12" ShapeID="_x0000_i1051" DrawAspect="Content" r:id="rId67" UpdateMode="Always">
            <o:LinkType>EnhancedMetaFile</o:LinkType>
            <o:LockedField>false</o:LockedField>
            <o:FieldCodes>\* MERGEFORMAT</o:FieldCodes>
          </o:OLEObject>
        </w:object>
      </w:r>
    </w:p>
    <w:p w14:paraId="3B005C27" w14:textId="77777777" w:rsidR="0006558D" w:rsidRPr="00183434" w:rsidRDefault="0006558D" w:rsidP="00183434">
      <w:pPr>
        <w:jc w:val="both"/>
        <w:rPr>
          <w:rFonts w:cs="Arial"/>
          <w:sz w:val="23"/>
          <w:szCs w:val="23"/>
          <w:highlight w:val="cyan"/>
        </w:rPr>
      </w:pPr>
    </w:p>
    <w:p w14:paraId="17DC1E76" w14:textId="77777777" w:rsidR="00386757" w:rsidRPr="00183434" w:rsidRDefault="00386757" w:rsidP="00183434">
      <w:pPr>
        <w:ind w:left="720"/>
        <w:jc w:val="both"/>
        <w:rPr>
          <w:rFonts w:cs="Arial"/>
          <w:sz w:val="23"/>
          <w:szCs w:val="23"/>
        </w:rPr>
      </w:pPr>
      <w:r w:rsidRPr="00183434">
        <w:rPr>
          <w:rFonts w:cs="Arial"/>
          <w:sz w:val="23"/>
          <w:szCs w:val="23"/>
        </w:rPr>
        <w:t>The estimation of the defined benefit obligations is sensitive to the actuarial assumptions set out in the table above. The sensitivity analyses below have been determined based on reasonably poss</w:t>
      </w:r>
      <w:r w:rsidR="00CE39B8" w:rsidRPr="00183434">
        <w:rPr>
          <w:rFonts w:cs="Arial"/>
          <w:sz w:val="23"/>
          <w:szCs w:val="23"/>
        </w:rPr>
        <w:t xml:space="preserve">ible changes of the assumptions </w:t>
      </w:r>
      <w:r w:rsidR="008E29F2" w:rsidRPr="00183434">
        <w:rPr>
          <w:rFonts w:cs="Arial"/>
          <w:sz w:val="23"/>
          <w:szCs w:val="23"/>
        </w:rPr>
        <w:t>occurring</w:t>
      </w:r>
      <w:r w:rsidRPr="00183434">
        <w:rPr>
          <w:rFonts w:cs="Arial"/>
          <w:sz w:val="23"/>
          <w:szCs w:val="23"/>
        </w:rPr>
        <w:t xml:space="preserve"> at the end of the reporting period and assumes for each change that the assumption analysed changes while all other assumptions remain constant. </w:t>
      </w:r>
    </w:p>
    <w:p w14:paraId="7289439F" w14:textId="77777777" w:rsidR="00386757" w:rsidRPr="00183434" w:rsidRDefault="00386757" w:rsidP="00183434">
      <w:pPr>
        <w:ind w:left="720"/>
        <w:jc w:val="both"/>
        <w:rPr>
          <w:rFonts w:cs="Arial"/>
          <w:sz w:val="23"/>
          <w:szCs w:val="23"/>
        </w:rPr>
      </w:pPr>
    </w:p>
    <w:p w14:paraId="16F411CA" w14:textId="77777777" w:rsidR="00386757" w:rsidRPr="00183434" w:rsidRDefault="00386757" w:rsidP="00183434">
      <w:pPr>
        <w:ind w:left="720"/>
        <w:jc w:val="both"/>
        <w:rPr>
          <w:rFonts w:cs="Arial"/>
          <w:sz w:val="23"/>
          <w:szCs w:val="23"/>
        </w:rPr>
      </w:pPr>
      <w:r w:rsidRPr="00183434">
        <w:rPr>
          <w:rFonts w:cs="Arial"/>
          <w:sz w:val="23"/>
          <w:szCs w:val="23"/>
        </w:rPr>
        <w:t xml:space="preserve">The assumptions in longevity, for example, assume that life expectancy increases or decreases for men and women. In practice, this is unlikely to occur, and changes in some of the assumptions may be interrelated. </w:t>
      </w:r>
    </w:p>
    <w:p w14:paraId="2C5B42EF" w14:textId="77777777" w:rsidR="00386757" w:rsidRPr="00183434" w:rsidRDefault="00386757" w:rsidP="00183434">
      <w:pPr>
        <w:ind w:left="720"/>
        <w:jc w:val="both"/>
        <w:rPr>
          <w:rFonts w:cs="Arial"/>
          <w:sz w:val="23"/>
          <w:szCs w:val="23"/>
        </w:rPr>
      </w:pPr>
    </w:p>
    <w:p w14:paraId="4423886A" w14:textId="77777777" w:rsidR="00386757" w:rsidRPr="00183434" w:rsidRDefault="00386757" w:rsidP="00183434">
      <w:pPr>
        <w:ind w:left="720"/>
        <w:jc w:val="both"/>
        <w:rPr>
          <w:rFonts w:cs="Arial"/>
          <w:sz w:val="23"/>
          <w:szCs w:val="23"/>
        </w:rPr>
      </w:pPr>
      <w:r w:rsidRPr="00183434">
        <w:rPr>
          <w:rFonts w:cs="Arial"/>
          <w:sz w:val="23"/>
          <w:szCs w:val="23"/>
        </w:rPr>
        <w:t>The estimations in the sensitivity analysis have followed the accounting policies for the scheme, ie on an actuarial basis using the projected unit credit method. The methods and types of assumption used in preparing the sensitivity analysis below did not change from those used in the previous pe</w:t>
      </w:r>
      <w:r w:rsidR="00990154" w:rsidRPr="00183434">
        <w:rPr>
          <w:rFonts w:cs="Arial"/>
          <w:sz w:val="23"/>
          <w:szCs w:val="23"/>
        </w:rPr>
        <w:t>riod</w:t>
      </w:r>
      <w:r w:rsidRPr="00183434">
        <w:rPr>
          <w:rFonts w:cs="Arial"/>
          <w:sz w:val="23"/>
          <w:szCs w:val="23"/>
        </w:rPr>
        <w:t>.</w:t>
      </w:r>
    </w:p>
    <w:p w14:paraId="22353030" w14:textId="77777777" w:rsidR="00386757" w:rsidRPr="00183434" w:rsidRDefault="00386757" w:rsidP="00183434">
      <w:pPr>
        <w:jc w:val="both"/>
        <w:rPr>
          <w:rFonts w:cs="Arial"/>
          <w:sz w:val="23"/>
          <w:szCs w:val="23"/>
        </w:rPr>
      </w:pPr>
    </w:p>
    <w:p w14:paraId="6D866791" w14:textId="5655D754" w:rsidR="00386757" w:rsidRPr="00183434" w:rsidRDefault="00675130" w:rsidP="00183434">
      <w:pPr>
        <w:ind w:firstLine="709"/>
        <w:jc w:val="both"/>
        <w:rPr>
          <w:rFonts w:cs="Arial"/>
          <w:sz w:val="23"/>
          <w:szCs w:val="23"/>
          <w:highlight w:val="cyan"/>
        </w:rPr>
      </w:pPr>
      <w:r w:rsidRPr="00183434">
        <w:rPr>
          <w:rFonts w:cs="Arial"/>
          <w:sz w:val="23"/>
          <w:szCs w:val="23"/>
        </w:rPr>
        <w:object w:dxaOrig="8254" w:dyaOrig="2203" w14:anchorId="1409F764">
          <v:shape id="_x0000_i1052" type="#_x0000_t75" style="width:419.9pt;height:112.9pt" o:ole="">
            <v:imagedata r:id="rId68" o:title=""/>
          </v:shape>
          <o:OLEObject Type="Link" ProgID="Excel.Sheet.12" ShapeID="_x0000_i1052" DrawAspect="Content" r:id="rId69" UpdateMode="Always">
            <o:LinkType>EnhancedMetaFile</o:LinkType>
            <o:LockedField>false</o:LockedField>
            <o:FieldCodes>\* MERGEFORMAT</o:FieldCodes>
          </o:OLEObject>
        </w:object>
      </w:r>
    </w:p>
    <w:p w14:paraId="5840267A" w14:textId="77777777" w:rsidR="000B1BDF" w:rsidRPr="00183434" w:rsidRDefault="000B1BDF" w:rsidP="00183434">
      <w:pPr>
        <w:ind w:firstLine="709"/>
        <w:jc w:val="both"/>
        <w:rPr>
          <w:rFonts w:cs="Arial"/>
          <w:sz w:val="23"/>
          <w:szCs w:val="23"/>
          <w:highlight w:val="cyan"/>
        </w:rPr>
      </w:pPr>
    </w:p>
    <w:p w14:paraId="3010F974" w14:textId="77777777" w:rsidR="0006558D" w:rsidRPr="00183434" w:rsidRDefault="0006558D" w:rsidP="00183434">
      <w:pPr>
        <w:ind w:firstLine="709"/>
        <w:jc w:val="both"/>
        <w:rPr>
          <w:rFonts w:cs="Arial"/>
          <w:sz w:val="23"/>
          <w:szCs w:val="23"/>
          <w:highlight w:val="cyan"/>
        </w:rPr>
      </w:pPr>
    </w:p>
    <w:p w14:paraId="163E9688" w14:textId="77777777" w:rsidR="00386757" w:rsidRPr="00183434" w:rsidRDefault="00386757" w:rsidP="00183434">
      <w:pPr>
        <w:ind w:left="720"/>
        <w:jc w:val="both"/>
        <w:rPr>
          <w:rFonts w:cs="Arial"/>
          <w:sz w:val="23"/>
          <w:szCs w:val="23"/>
          <w:u w:val="single"/>
        </w:rPr>
      </w:pPr>
      <w:r w:rsidRPr="00183434">
        <w:rPr>
          <w:rFonts w:cs="Arial"/>
          <w:sz w:val="23"/>
          <w:szCs w:val="23"/>
          <w:u w:val="single"/>
        </w:rPr>
        <w:t>Impact on the Authority’s Cash Flows</w:t>
      </w:r>
    </w:p>
    <w:p w14:paraId="7A21AC81" w14:textId="77777777" w:rsidR="00386757" w:rsidRPr="00183434" w:rsidRDefault="00386757" w:rsidP="00183434">
      <w:pPr>
        <w:ind w:left="720"/>
        <w:jc w:val="both"/>
        <w:rPr>
          <w:rFonts w:cs="Arial"/>
          <w:sz w:val="23"/>
          <w:szCs w:val="23"/>
        </w:rPr>
      </w:pPr>
    </w:p>
    <w:p w14:paraId="78E3CD8A" w14:textId="1937EAA5" w:rsidR="00386757" w:rsidRPr="00183434" w:rsidRDefault="00386757" w:rsidP="00183434">
      <w:pPr>
        <w:ind w:left="720"/>
        <w:jc w:val="both"/>
        <w:rPr>
          <w:rFonts w:cs="Arial"/>
          <w:sz w:val="23"/>
          <w:szCs w:val="23"/>
        </w:rPr>
      </w:pPr>
      <w:r w:rsidRPr="00183434">
        <w:rPr>
          <w:rFonts w:cs="Arial"/>
          <w:sz w:val="23"/>
          <w:szCs w:val="23"/>
        </w:rPr>
        <w:t xml:space="preserve">The objectives of the scheme are to keep </w:t>
      </w:r>
      <w:proofErr w:type="gramStart"/>
      <w:r w:rsidRPr="00183434">
        <w:rPr>
          <w:rFonts w:cs="Arial"/>
          <w:sz w:val="23"/>
          <w:szCs w:val="23"/>
        </w:rPr>
        <w:t>employers</w:t>
      </w:r>
      <w:proofErr w:type="gramEnd"/>
      <w:r w:rsidRPr="00183434">
        <w:rPr>
          <w:rFonts w:cs="Arial"/>
          <w:sz w:val="23"/>
          <w:szCs w:val="23"/>
        </w:rPr>
        <w:t xml:space="preserve"> contributions at as constant a rate as possible. The County Council has agreed a strategy with the scheme’s actuary to achieve a fundi</w:t>
      </w:r>
      <w:r w:rsidR="006C4FE7" w:rsidRPr="00183434">
        <w:rPr>
          <w:rFonts w:cs="Arial"/>
          <w:sz w:val="23"/>
          <w:szCs w:val="23"/>
        </w:rPr>
        <w:t>ng level of 100% over the next 1</w:t>
      </w:r>
      <w:r w:rsidR="00B617C0" w:rsidRPr="00183434">
        <w:rPr>
          <w:rFonts w:cs="Arial"/>
          <w:sz w:val="23"/>
          <w:szCs w:val="23"/>
        </w:rPr>
        <w:t>8</w:t>
      </w:r>
      <w:r w:rsidR="006C4FE7" w:rsidRPr="00183434">
        <w:rPr>
          <w:rFonts w:cs="Arial"/>
          <w:sz w:val="23"/>
          <w:szCs w:val="23"/>
        </w:rPr>
        <w:t xml:space="preserve"> years. Funding levels are reviewed as part of the triennial valuation process. </w:t>
      </w:r>
      <w:r w:rsidRPr="00183434">
        <w:rPr>
          <w:rFonts w:cs="Arial"/>
          <w:sz w:val="23"/>
          <w:szCs w:val="23"/>
        </w:rPr>
        <w:t>The next triennial val</w:t>
      </w:r>
      <w:r w:rsidR="007A11BE" w:rsidRPr="00183434">
        <w:rPr>
          <w:rFonts w:cs="Arial"/>
          <w:sz w:val="23"/>
          <w:szCs w:val="23"/>
        </w:rPr>
        <w:t xml:space="preserve">uation is due to be completed as </w:t>
      </w:r>
      <w:proofErr w:type="gramStart"/>
      <w:r w:rsidR="007A11BE"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0099670C" w:rsidRPr="00183434">
        <w:rPr>
          <w:rFonts w:cs="Arial"/>
          <w:sz w:val="23"/>
          <w:szCs w:val="23"/>
        </w:rPr>
        <w:t xml:space="preserve"> March 20</w:t>
      </w:r>
      <w:r w:rsidR="007A0945" w:rsidRPr="00183434">
        <w:rPr>
          <w:rFonts w:cs="Arial"/>
          <w:sz w:val="23"/>
          <w:szCs w:val="23"/>
        </w:rPr>
        <w:t>2</w:t>
      </w:r>
      <w:r w:rsidR="004056B0" w:rsidRPr="00183434">
        <w:rPr>
          <w:rFonts w:cs="Arial"/>
          <w:sz w:val="23"/>
          <w:szCs w:val="23"/>
        </w:rPr>
        <w:t>8</w:t>
      </w:r>
      <w:r w:rsidRPr="00183434">
        <w:rPr>
          <w:rFonts w:cs="Arial"/>
          <w:sz w:val="23"/>
          <w:szCs w:val="23"/>
        </w:rPr>
        <w:t>.</w:t>
      </w:r>
    </w:p>
    <w:p w14:paraId="565130ED" w14:textId="77777777" w:rsidR="00386757" w:rsidRPr="00183434" w:rsidRDefault="00386757" w:rsidP="00183434">
      <w:pPr>
        <w:ind w:left="720"/>
        <w:jc w:val="both"/>
        <w:rPr>
          <w:rFonts w:cs="Arial"/>
          <w:sz w:val="23"/>
          <w:szCs w:val="23"/>
        </w:rPr>
      </w:pPr>
    </w:p>
    <w:p w14:paraId="03CECF70" w14:textId="0F8FC77D" w:rsidR="00386757" w:rsidRPr="00183434" w:rsidRDefault="00386757" w:rsidP="00183434">
      <w:pPr>
        <w:ind w:left="720"/>
        <w:jc w:val="both"/>
        <w:rPr>
          <w:rFonts w:cs="Arial"/>
          <w:sz w:val="23"/>
          <w:szCs w:val="23"/>
        </w:rPr>
      </w:pPr>
      <w:r w:rsidRPr="00183434">
        <w:rPr>
          <w:rFonts w:cs="Arial"/>
          <w:sz w:val="23"/>
          <w:szCs w:val="23"/>
        </w:rPr>
        <w:t>The Act provides for scheme regulations to be made within a common framework, to establish new career average revalued earnings schemes.</w:t>
      </w:r>
    </w:p>
    <w:p w14:paraId="2FF8BF46" w14:textId="77777777" w:rsidR="00386757" w:rsidRPr="00183434" w:rsidRDefault="00386757" w:rsidP="00183434">
      <w:pPr>
        <w:jc w:val="both"/>
        <w:rPr>
          <w:rFonts w:cs="Arial"/>
          <w:sz w:val="23"/>
          <w:szCs w:val="23"/>
          <w:highlight w:val="cyan"/>
        </w:rPr>
      </w:pPr>
    </w:p>
    <w:p w14:paraId="74CEB41F" w14:textId="773FE936" w:rsidR="00386757" w:rsidRPr="00183434" w:rsidRDefault="00386757" w:rsidP="00183434">
      <w:pPr>
        <w:ind w:left="720"/>
        <w:jc w:val="both"/>
        <w:rPr>
          <w:rFonts w:cs="Arial"/>
          <w:sz w:val="23"/>
          <w:szCs w:val="23"/>
        </w:rPr>
      </w:pPr>
      <w:proofErr w:type="gramStart"/>
      <w:r w:rsidRPr="00183434">
        <w:rPr>
          <w:rFonts w:cs="Arial"/>
          <w:sz w:val="23"/>
          <w:szCs w:val="23"/>
        </w:rPr>
        <w:t>With the exception of</w:t>
      </w:r>
      <w:proofErr w:type="gramEnd"/>
      <w:r w:rsidRPr="00183434">
        <w:rPr>
          <w:rFonts w:cs="Arial"/>
          <w:sz w:val="23"/>
          <w:szCs w:val="23"/>
        </w:rPr>
        <w:t xml:space="preserve"> the tables detailing transactions in the Comprehensive Income &amp; Expenditure Statement and the Movement in Reserves Statement, the pension fund details in </w:t>
      </w:r>
      <w:r w:rsidR="00AB4260" w:rsidRPr="00183434">
        <w:rPr>
          <w:rFonts w:cs="Arial"/>
          <w:sz w:val="23"/>
          <w:szCs w:val="23"/>
        </w:rPr>
        <w:t>N</w:t>
      </w:r>
      <w:r w:rsidRPr="00183434">
        <w:rPr>
          <w:rFonts w:cs="Arial"/>
          <w:sz w:val="23"/>
          <w:szCs w:val="23"/>
        </w:rPr>
        <w:t xml:space="preserve">ote </w:t>
      </w:r>
      <w:r w:rsidR="0076377B" w:rsidRPr="00183434">
        <w:rPr>
          <w:rFonts w:cs="Arial"/>
          <w:sz w:val="23"/>
          <w:szCs w:val="23"/>
        </w:rPr>
        <w:t>1</w:t>
      </w:r>
      <w:r w:rsidR="00682F67" w:rsidRPr="00183434">
        <w:rPr>
          <w:rFonts w:cs="Arial"/>
          <w:sz w:val="23"/>
          <w:szCs w:val="23"/>
        </w:rPr>
        <w:t>6</w:t>
      </w:r>
      <w:r w:rsidRPr="00183434">
        <w:rPr>
          <w:rFonts w:cs="Arial"/>
          <w:sz w:val="23"/>
          <w:szCs w:val="23"/>
        </w:rPr>
        <w:t xml:space="preserve"> do not include Chesterfield Borough Council’s share of the Crematorium pension fund which has </w:t>
      </w:r>
      <w:r w:rsidR="00E15743" w:rsidRPr="00183434">
        <w:rPr>
          <w:rFonts w:cs="Arial"/>
          <w:sz w:val="23"/>
          <w:szCs w:val="23"/>
        </w:rPr>
        <w:t xml:space="preserve">its own separate fund. </w:t>
      </w:r>
    </w:p>
    <w:p w14:paraId="38E10558" w14:textId="77777777" w:rsidR="00386757" w:rsidRPr="00183434" w:rsidRDefault="00386757" w:rsidP="00183434">
      <w:pPr>
        <w:jc w:val="both"/>
        <w:rPr>
          <w:rFonts w:cs="Arial"/>
          <w:sz w:val="23"/>
          <w:szCs w:val="23"/>
        </w:rPr>
      </w:pPr>
    </w:p>
    <w:p w14:paraId="2B96D304" w14:textId="77777777" w:rsidR="00B5081E" w:rsidRPr="00183434" w:rsidRDefault="00B5081E" w:rsidP="00183434">
      <w:pPr>
        <w:jc w:val="both"/>
        <w:rPr>
          <w:rFonts w:cs="Arial"/>
          <w:sz w:val="23"/>
          <w:szCs w:val="23"/>
        </w:rPr>
      </w:pPr>
    </w:p>
    <w:p w14:paraId="542A1652" w14:textId="77777777" w:rsidR="00386757" w:rsidRPr="00183434" w:rsidRDefault="00386757" w:rsidP="00183434">
      <w:pPr>
        <w:jc w:val="both"/>
        <w:rPr>
          <w:rFonts w:cs="Arial"/>
          <w:sz w:val="23"/>
          <w:szCs w:val="23"/>
        </w:rPr>
      </w:pPr>
      <w:r w:rsidRPr="00183434">
        <w:rPr>
          <w:rFonts w:cs="Arial"/>
          <w:b/>
          <w:sz w:val="23"/>
          <w:szCs w:val="23"/>
        </w:rPr>
        <w:t>1</w:t>
      </w:r>
      <w:r w:rsidR="001B2752" w:rsidRPr="00183434">
        <w:rPr>
          <w:rFonts w:cs="Arial"/>
          <w:b/>
          <w:sz w:val="23"/>
          <w:szCs w:val="23"/>
        </w:rPr>
        <w:t>7</w:t>
      </w:r>
      <w:r w:rsidRPr="00183434">
        <w:rPr>
          <w:rFonts w:cs="Arial"/>
          <w:sz w:val="23"/>
          <w:szCs w:val="23"/>
        </w:rPr>
        <w:t>.</w:t>
      </w:r>
      <w:r w:rsidRPr="00183434">
        <w:rPr>
          <w:rFonts w:cs="Arial"/>
          <w:sz w:val="23"/>
          <w:szCs w:val="23"/>
        </w:rPr>
        <w:tab/>
      </w:r>
      <w:r w:rsidRPr="00183434">
        <w:rPr>
          <w:rFonts w:cs="Arial"/>
          <w:b/>
          <w:sz w:val="23"/>
          <w:szCs w:val="23"/>
          <w:u w:val="single"/>
        </w:rPr>
        <w:t>MEMBERS’ ALLOWANCES</w:t>
      </w:r>
    </w:p>
    <w:p w14:paraId="6DA727C5" w14:textId="77777777" w:rsidR="00386757" w:rsidRPr="00183434" w:rsidRDefault="00386757" w:rsidP="00183434">
      <w:pPr>
        <w:jc w:val="both"/>
        <w:rPr>
          <w:rFonts w:cs="Arial"/>
          <w:sz w:val="23"/>
          <w:szCs w:val="23"/>
        </w:rPr>
      </w:pPr>
    </w:p>
    <w:p w14:paraId="40ADA48E" w14:textId="77777777" w:rsidR="00905662" w:rsidRPr="00183434" w:rsidRDefault="00386757" w:rsidP="00183434">
      <w:pPr>
        <w:jc w:val="both"/>
        <w:rPr>
          <w:rFonts w:cs="Arial"/>
          <w:sz w:val="23"/>
          <w:szCs w:val="23"/>
        </w:rPr>
      </w:pPr>
      <w:r w:rsidRPr="00183434">
        <w:rPr>
          <w:rFonts w:cs="Arial"/>
          <w:sz w:val="23"/>
          <w:szCs w:val="23"/>
        </w:rPr>
        <w:tab/>
        <w:t>The allowances and expenses paid to Members were as follows:</w:t>
      </w:r>
    </w:p>
    <w:p w14:paraId="608EBC51" w14:textId="77777777" w:rsidR="00386757" w:rsidRPr="00183434" w:rsidRDefault="00386757" w:rsidP="00183434">
      <w:pPr>
        <w:jc w:val="both"/>
        <w:rPr>
          <w:rFonts w:cs="Arial"/>
          <w:sz w:val="23"/>
          <w:szCs w:val="23"/>
        </w:rPr>
      </w:pPr>
      <w:r w:rsidRPr="00183434">
        <w:rPr>
          <w:rFonts w:cs="Arial"/>
          <w:sz w:val="23"/>
          <w:szCs w:val="23"/>
        </w:rPr>
        <w:tab/>
      </w:r>
    </w:p>
    <w:p w14:paraId="5EDB5C5F" w14:textId="77777777" w:rsidR="0085096C" w:rsidRPr="00183434" w:rsidRDefault="0085096C" w:rsidP="00183434">
      <w:pPr>
        <w:jc w:val="both"/>
        <w:rPr>
          <w:rFonts w:cs="Arial"/>
          <w:sz w:val="23"/>
          <w:szCs w:val="23"/>
        </w:rPr>
      </w:pPr>
    </w:p>
    <w:p w14:paraId="20738666" w14:textId="0656D4CC" w:rsidR="00386757" w:rsidRPr="00183434" w:rsidRDefault="00C90216" w:rsidP="00183434">
      <w:pPr>
        <w:ind w:firstLine="709"/>
        <w:jc w:val="both"/>
        <w:rPr>
          <w:rFonts w:cs="Arial"/>
          <w:sz w:val="23"/>
          <w:szCs w:val="23"/>
        </w:rPr>
      </w:pPr>
      <w:r w:rsidRPr="00183434">
        <w:rPr>
          <w:rFonts w:cs="Arial"/>
          <w:sz w:val="23"/>
          <w:szCs w:val="23"/>
        </w:rPr>
        <w:object w:dxaOrig="8300" w:dyaOrig="2670" w14:anchorId="236EAA95">
          <v:shape id="_x0000_i1053" type="#_x0000_t75" style="width:414.7pt;height:133.65pt" o:ole="">
            <v:imagedata r:id="rId70" o:title=""/>
          </v:shape>
          <o:OLEObject Type="Link" ProgID="Excel.Sheet.12" ShapeID="_x0000_i1053" DrawAspect="Content" r:id="rId71" UpdateMode="Always">
            <o:LinkType>EnhancedMetaFile</o:LinkType>
            <o:LockedField>false</o:LockedField>
            <o:FieldCodes>\* MERGEFORMAT</o:FieldCodes>
          </o:OLEObject>
        </w:object>
      </w:r>
      <w:r w:rsidR="00386757" w:rsidRPr="00183434">
        <w:rPr>
          <w:rFonts w:cs="Arial"/>
          <w:sz w:val="23"/>
          <w:szCs w:val="23"/>
        </w:rPr>
        <w:tab/>
      </w:r>
    </w:p>
    <w:p w14:paraId="0AF7C163" w14:textId="77777777" w:rsidR="0006558D" w:rsidRPr="00183434" w:rsidRDefault="0006558D" w:rsidP="00183434">
      <w:pPr>
        <w:ind w:firstLine="709"/>
        <w:jc w:val="both"/>
        <w:rPr>
          <w:rFonts w:cs="Arial"/>
          <w:sz w:val="23"/>
          <w:szCs w:val="23"/>
          <w:highlight w:val="cyan"/>
        </w:rPr>
      </w:pPr>
    </w:p>
    <w:p w14:paraId="5DC2ADA2" w14:textId="77777777" w:rsidR="00386757" w:rsidRPr="00183434" w:rsidRDefault="00386757" w:rsidP="00183434">
      <w:pPr>
        <w:ind w:left="720"/>
        <w:jc w:val="both"/>
        <w:rPr>
          <w:rFonts w:cs="Arial"/>
          <w:sz w:val="23"/>
          <w:szCs w:val="23"/>
        </w:rPr>
      </w:pPr>
      <w:r w:rsidRPr="00183434">
        <w:rPr>
          <w:rFonts w:cs="Arial"/>
          <w:sz w:val="23"/>
          <w:szCs w:val="23"/>
        </w:rPr>
        <w:t>A schedule of the amounts paid to individual Members is published each year in the Council's newspaper.  The schedule can also be viewed on the Council's website (</w:t>
      </w:r>
      <w:hyperlink r:id="rId72" w:history="1">
        <w:r w:rsidRPr="00183434">
          <w:rPr>
            <w:rStyle w:val="Hyperlink"/>
            <w:rFonts w:cs="Arial"/>
            <w:sz w:val="23"/>
            <w:szCs w:val="23"/>
          </w:rPr>
          <w:t>www.cheste</w:t>
        </w:r>
        <w:bookmarkStart w:id="2" w:name="_Hlt108428673"/>
        <w:r w:rsidRPr="00183434">
          <w:rPr>
            <w:rStyle w:val="Hyperlink"/>
            <w:rFonts w:cs="Arial"/>
            <w:sz w:val="23"/>
            <w:szCs w:val="23"/>
          </w:rPr>
          <w:t>r</w:t>
        </w:r>
        <w:bookmarkEnd w:id="2"/>
        <w:r w:rsidRPr="00183434">
          <w:rPr>
            <w:rStyle w:val="Hyperlink"/>
            <w:rFonts w:cs="Arial"/>
            <w:sz w:val="23"/>
            <w:szCs w:val="23"/>
          </w:rPr>
          <w:t>field.gov.uk</w:t>
        </w:r>
      </w:hyperlink>
      <w:r w:rsidRPr="00183434">
        <w:rPr>
          <w:rFonts w:cs="Arial"/>
          <w:sz w:val="23"/>
          <w:szCs w:val="23"/>
        </w:rPr>
        <w:t>)</w:t>
      </w:r>
      <w:r w:rsidR="00B77EEA" w:rsidRPr="00183434">
        <w:rPr>
          <w:rFonts w:cs="Arial"/>
          <w:sz w:val="23"/>
          <w:szCs w:val="23"/>
        </w:rPr>
        <w:t>.</w:t>
      </w:r>
    </w:p>
    <w:p w14:paraId="108C0250" w14:textId="77777777" w:rsidR="00B5081E" w:rsidRPr="00183434" w:rsidRDefault="00B5081E" w:rsidP="00183434">
      <w:pPr>
        <w:jc w:val="both"/>
        <w:rPr>
          <w:rFonts w:cs="Arial"/>
          <w:sz w:val="23"/>
          <w:szCs w:val="23"/>
        </w:rPr>
      </w:pPr>
    </w:p>
    <w:p w14:paraId="01AFBCEE" w14:textId="77777777" w:rsidR="002B261C" w:rsidRPr="00183434" w:rsidRDefault="002B261C" w:rsidP="00183434">
      <w:pPr>
        <w:jc w:val="both"/>
        <w:rPr>
          <w:rFonts w:cs="Arial"/>
          <w:sz w:val="23"/>
          <w:szCs w:val="23"/>
          <w:highlight w:val="cyan"/>
        </w:rPr>
      </w:pPr>
    </w:p>
    <w:p w14:paraId="744596A2" w14:textId="77777777" w:rsidR="002B261C" w:rsidRPr="00183434" w:rsidRDefault="002B261C" w:rsidP="00183434">
      <w:pPr>
        <w:jc w:val="both"/>
        <w:rPr>
          <w:rFonts w:cs="Arial"/>
          <w:sz w:val="23"/>
          <w:szCs w:val="23"/>
          <w:highlight w:val="cyan"/>
        </w:rPr>
      </w:pPr>
    </w:p>
    <w:p w14:paraId="74C3D745" w14:textId="77777777" w:rsidR="00386757" w:rsidRPr="00183434" w:rsidRDefault="00176F40" w:rsidP="00183434">
      <w:pPr>
        <w:jc w:val="both"/>
        <w:rPr>
          <w:rFonts w:cs="Arial"/>
          <w:b/>
          <w:sz w:val="23"/>
          <w:szCs w:val="23"/>
          <w:u w:val="single"/>
        </w:rPr>
      </w:pPr>
      <w:r w:rsidRPr="00183434">
        <w:rPr>
          <w:rFonts w:cs="Arial"/>
          <w:b/>
          <w:sz w:val="23"/>
          <w:szCs w:val="23"/>
        </w:rPr>
        <w:t>1</w:t>
      </w:r>
      <w:r w:rsidR="001B2752" w:rsidRPr="00183434">
        <w:rPr>
          <w:rFonts w:cs="Arial"/>
          <w:b/>
          <w:sz w:val="23"/>
          <w:szCs w:val="23"/>
        </w:rPr>
        <w:t>8</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GRANT INCOME</w:t>
      </w:r>
    </w:p>
    <w:p w14:paraId="18266B61" w14:textId="77777777" w:rsidR="00386757" w:rsidRPr="00183434" w:rsidRDefault="00386757" w:rsidP="00183434">
      <w:pPr>
        <w:jc w:val="both"/>
        <w:rPr>
          <w:rFonts w:cs="Arial"/>
          <w:b/>
          <w:sz w:val="23"/>
          <w:szCs w:val="23"/>
        </w:rPr>
      </w:pPr>
    </w:p>
    <w:p w14:paraId="14F21EB7" w14:textId="2BDC890E" w:rsidR="0006558D" w:rsidRDefault="00386757" w:rsidP="00183434">
      <w:pPr>
        <w:ind w:left="720"/>
        <w:jc w:val="both"/>
        <w:rPr>
          <w:rFonts w:cs="Arial"/>
          <w:sz w:val="23"/>
          <w:szCs w:val="23"/>
        </w:rPr>
      </w:pPr>
      <w:r w:rsidRPr="00183434">
        <w:rPr>
          <w:rFonts w:cs="Arial"/>
          <w:sz w:val="23"/>
          <w:szCs w:val="23"/>
        </w:rPr>
        <w:t>The Authority credited the following grants and contributions to the Comprehensive Income and Expenditure Stat</w:t>
      </w:r>
      <w:r w:rsidR="00703A3A" w:rsidRPr="00183434">
        <w:rPr>
          <w:rFonts w:cs="Arial"/>
          <w:sz w:val="23"/>
          <w:szCs w:val="23"/>
        </w:rPr>
        <w:t>ement in 20</w:t>
      </w:r>
      <w:r w:rsidR="004E0EC6" w:rsidRPr="00183434">
        <w:rPr>
          <w:rFonts w:cs="Arial"/>
          <w:sz w:val="23"/>
          <w:szCs w:val="23"/>
        </w:rPr>
        <w:t>2</w:t>
      </w:r>
      <w:r w:rsidR="008A7457" w:rsidRPr="00183434">
        <w:rPr>
          <w:rFonts w:cs="Arial"/>
          <w:sz w:val="23"/>
          <w:szCs w:val="23"/>
        </w:rPr>
        <w:t>5</w:t>
      </w:r>
      <w:r w:rsidR="00703A3A" w:rsidRPr="00183434">
        <w:rPr>
          <w:rFonts w:cs="Arial"/>
          <w:sz w:val="23"/>
          <w:szCs w:val="23"/>
        </w:rPr>
        <w:t>/</w:t>
      </w:r>
      <w:r w:rsidR="0006558D" w:rsidRPr="00183434">
        <w:rPr>
          <w:rFonts w:cs="Arial"/>
          <w:sz w:val="23"/>
          <w:szCs w:val="23"/>
        </w:rPr>
        <w:t>2</w:t>
      </w:r>
      <w:r w:rsidR="008A7457" w:rsidRPr="00183434">
        <w:rPr>
          <w:rFonts w:cs="Arial"/>
          <w:sz w:val="23"/>
          <w:szCs w:val="23"/>
        </w:rPr>
        <w:t>6</w:t>
      </w:r>
      <w:r w:rsidRPr="00183434">
        <w:rPr>
          <w:rFonts w:cs="Arial"/>
          <w:sz w:val="23"/>
          <w:szCs w:val="23"/>
        </w:rPr>
        <w:t>.</w:t>
      </w:r>
    </w:p>
    <w:p w14:paraId="0B29D803" w14:textId="77777777" w:rsidR="00257E9C" w:rsidRPr="00183434" w:rsidRDefault="00257E9C" w:rsidP="00183434">
      <w:pPr>
        <w:ind w:left="720"/>
        <w:jc w:val="both"/>
        <w:rPr>
          <w:rFonts w:cs="Arial"/>
          <w:sz w:val="23"/>
          <w:szCs w:val="23"/>
        </w:rPr>
      </w:pPr>
    </w:p>
    <w:p w14:paraId="01EBF630" w14:textId="77777777" w:rsidR="00905662" w:rsidRPr="00183434" w:rsidRDefault="00905662" w:rsidP="00183434">
      <w:pPr>
        <w:ind w:left="709"/>
        <w:jc w:val="both"/>
        <w:rPr>
          <w:rFonts w:cs="Arial"/>
          <w:sz w:val="23"/>
          <w:szCs w:val="23"/>
        </w:rPr>
      </w:pPr>
    </w:p>
    <w:p w14:paraId="7C9F61A5" w14:textId="61510A97" w:rsidR="002B261C" w:rsidRPr="00183434" w:rsidRDefault="003A2C8B" w:rsidP="00183434">
      <w:pPr>
        <w:ind w:left="709"/>
        <w:jc w:val="both"/>
        <w:rPr>
          <w:rFonts w:cs="Arial"/>
          <w:sz w:val="23"/>
          <w:szCs w:val="23"/>
        </w:rPr>
      </w:pPr>
      <w:r w:rsidRPr="00183434">
        <w:rPr>
          <w:rFonts w:cs="Arial"/>
          <w:sz w:val="23"/>
          <w:szCs w:val="23"/>
        </w:rPr>
        <w:object w:dxaOrig="8300" w:dyaOrig="3420" w14:anchorId="1DB107FC">
          <v:shape id="_x0000_i1054" type="#_x0000_t75" style="width:414.7pt;height:171.05pt" o:ole="">
            <v:imagedata r:id="rId73" o:title=""/>
          </v:shape>
          <o:OLEObject Type="Link" ProgID="Excel.Sheet.12" ShapeID="_x0000_i1054" DrawAspect="Content" r:id="rId74" UpdateMode="Always">
            <o:LinkType>EnhancedMetaFile</o:LinkType>
            <o:LockedField>false</o:LockedField>
            <o:FieldCodes>\* MERGEFORMAT</o:FieldCodes>
          </o:OLEObject>
        </w:object>
      </w:r>
    </w:p>
    <w:p w14:paraId="54504649" w14:textId="353081E4" w:rsidR="00905662" w:rsidRPr="00183434" w:rsidRDefault="00905662" w:rsidP="00183434">
      <w:pPr>
        <w:ind w:left="720"/>
        <w:jc w:val="both"/>
        <w:rPr>
          <w:rFonts w:cs="Arial"/>
          <w:sz w:val="23"/>
          <w:szCs w:val="23"/>
          <w:highlight w:val="cyan"/>
        </w:rPr>
      </w:pPr>
    </w:p>
    <w:p w14:paraId="26A536DD" w14:textId="77777777" w:rsidR="006233D1" w:rsidRPr="00183434" w:rsidRDefault="006233D1" w:rsidP="00183434">
      <w:pPr>
        <w:ind w:left="720"/>
        <w:jc w:val="both"/>
        <w:rPr>
          <w:rFonts w:cs="Arial"/>
          <w:sz w:val="23"/>
          <w:szCs w:val="23"/>
          <w:highlight w:val="cyan"/>
        </w:rPr>
      </w:pPr>
    </w:p>
    <w:p w14:paraId="07814F92" w14:textId="77777777" w:rsidR="005101E2" w:rsidRPr="00183434" w:rsidRDefault="005101E2" w:rsidP="00183434">
      <w:pPr>
        <w:ind w:left="720"/>
        <w:jc w:val="both"/>
        <w:rPr>
          <w:rFonts w:cs="Arial"/>
          <w:sz w:val="23"/>
          <w:szCs w:val="23"/>
          <w:highlight w:val="cyan"/>
        </w:rPr>
      </w:pPr>
    </w:p>
    <w:p w14:paraId="66685A47" w14:textId="77777777" w:rsidR="005101E2" w:rsidRPr="00183434" w:rsidRDefault="005101E2" w:rsidP="00183434">
      <w:pPr>
        <w:ind w:left="720"/>
        <w:jc w:val="both"/>
        <w:rPr>
          <w:rFonts w:cs="Arial"/>
          <w:sz w:val="23"/>
          <w:szCs w:val="23"/>
          <w:highlight w:val="cyan"/>
        </w:rPr>
      </w:pPr>
    </w:p>
    <w:p w14:paraId="09E0D167" w14:textId="77777777" w:rsidR="005101E2" w:rsidRPr="00183434" w:rsidRDefault="005101E2" w:rsidP="00183434">
      <w:pPr>
        <w:ind w:left="720"/>
        <w:jc w:val="both"/>
        <w:rPr>
          <w:rFonts w:cs="Arial"/>
          <w:sz w:val="23"/>
          <w:szCs w:val="23"/>
          <w:highlight w:val="cyan"/>
        </w:rPr>
      </w:pPr>
    </w:p>
    <w:p w14:paraId="4DEE02B9" w14:textId="77777777" w:rsidR="005101E2" w:rsidRPr="00183434" w:rsidRDefault="005101E2" w:rsidP="00183434">
      <w:pPr>
        <w:ind w:left="720"/>
        <w:jc w:val="both"/>
        <w:rPr>
          <w:rFonts w:cs="Arial"/>
          <w:sz w:val="23"/>
          <w:szCs w:val="23"/>
          <w:highlight w:val="cyan"/>
        </w:rPr>
      </w:pPr>
    </w:p>
    <w:p w14:paraId="647BD115" w14:textId="77777777" w:rsidR="005101E2" w:rsidRPr="00183434" w:rsidRDefault="005101E2" w:rsidP="00183434">
      <w:pPr>
        <w:ind w:left="720"/>
        <w:jc w:val="both"/>
        <w:rPr>
          <w:rFonts w:cs="Arial"/>
          <w:sz w:val="23"/>
          <w:szCs w:val="23"/>
          <w:highlight w:val="cyan"/>
        </w:rPr>
      </w:pPr>
    </w:p>
    <w:p w14:paraId="5654DE8D" w14:textId="77777777" w:rsidR="005101E2" w:rsidRPr="00183434" w:rsidRDefault="005101E2" w:rsidP="00183434">
      <w:pPr>
        <w:ind w:left="720"/>
        <w:jc w:val="both"/>
        <w:rPr>
          <w:rFonts w:cs="Arial"/>
          <w:sz w:val="23"/>
          <w:szCs w:val="23"/>
        </w:rPr>
      </w:pPr>
    </w:p>
    <w:p w14:paraId="2B368CAF" w14:textId="56434CEA" w:rsidR="006233D1" w:rsidRPr="00183434" w:rsidRDefault="003A2C8B" w:rsidP="00183434">
      <w:pPr>
        <w:ind w:left="720"/>
        <w:jc w:val="both"/>
        <w:rPr>
          <w:rFonts w:cs="Arial"/>
          <w:sz w:val="23"/>
          <w:szCs w:val="23"/>
          <w:highlight w:val="cyan"/>
        </w:rPr>
      </w:pPr>
      <w:r w:rsidRPr="00183434">
        <w:rPr>
          <w:rFonts w:cs="Arial"/>
          <w:sz w:val="23"/>
          <w:szCs w:val="23"/>
        </w:rPr>
        <w:object w:dxaOrig="8300" w:dyaOrig="5210" w14:anchorId="02A07992">
          <v:shape id="_x0000_i1055" type="#_x0000_t75" style="width:416.45pt;height:262.1pt" o:ole="">
            <v:imagedata r:id="rId75" o:title=""/>
          </v:shape>
          <o:OLEObject Type="Link" ProgID="Excel.Sheet.12" ShapeID="_x0000_i1055" DrawAspect="Content" r:id="rId76" UpdateMode="Always">
            <o:LinkType>EnhancedMetaFile</o:LinkType>
            <o:LockedField>false</o:LockedField>
            <o:FieldCodes>\* MERGEFORMAT</o:FieldCodes>
          </o:OLEObject>
        </w:object>
      </w:r>
    </w:p>
    <w:p w14:paraId="66BFEB97" w14:textId="77777777" w:rsidR="00336A02" w:rsidRPr="00183434" w:rsidRDefault="00336A02" w:rsidP="00183434">
      <w:pPr>
        <w:ind w:left="720"/>
        <w:jc w:val="both"/>
        <w:rPr>
          <w:rFonts w:cs="Arial"/>
          <w:sz w:val="23"/>
          <w:szCs w:val="23"/>
          <w:highlight w:val="cyan"/>
        </w:rPr>
      </w:pPr>
    </w:p>
    <w:p w14:paraId="6F21BE7A" w14:textId="77777777" w:rsidR="00266CE3" w:rsidRPr="00183434" w:rsidRDefault="00386757" w:rsidP="00183434">
      <w:pPr>
        <w:ind w:left="720"/>
        <w:jc w:val="both"/>
        <w:rPr>
          <w:rFonts w:cs="Arial"/>
          <w:sz w:val="23"/>
          <w:szCs w:val="23"/>
        </w:rPr>
      </w:pPr>
      <w:r w:rsidRPr="00183434">
        <w:rPr>
          <w:rFonts w:cs="Arial"/>
          <w:sz w:val="23"/>
          <w:szCs w:val="23"/>
        </w:rPr>
        <w:t xml:space="preserve">The Authority has received </w:t>
      </w:r>
      <w:proofErr w:type="gramStart"/>
      <w:r w:rsidRPr="00183434">
        <w:rPr>
          <w:rFonts w:cs="Arial"/>
          <w:sz w:val="23"/>
          <w:szCs w:val="23"/>
        </w:rPr>
        <w:t>a number of</w:t>
      </w:r>
      <w:proofErr w:type="gramEnd"/>
      <w:r w:rsidRPr="00183434">
        <w:rPr>
          <w:rFonts w:cs="Arial"/>
          <w:sz w:val="23"/>
          <w:szCs w:val="23"/>
        </w:rPr>
        <w:t xml:space="preserve"> grants and contributions that have yet to be recognised as income as they have conditions attached to them that will/may require the monies to be returned. The balances at year end are as follows:</w:t>
      </w:r>
    </w:p>
    <w:p w14:paraId="6DF8D397" w14:textId="7C02E26D" w:rsidR="003A2C8B" w:rsidRPr="00183434" w:rsidRDefault="000B7D57" w:rsidP="00183434">
      <w:pPr>
        <w:ind w:left="720"/>
        <w:jc w:val="both"/>
        <w:rPr>
          <w:rFonts w:cs="Arial"/>
          <w:sz w:val="23"/>
          <w:szCs w:val="23"/>
        </w:rPr>
      </w:pPr>
      <w:r w:rsidRPr="00183434">
        <w:rPr>
          <w:rFonts w:cs="Arial"/>
          <w:sz w:val="23"/>
          <w:szCs w:val="23"/>
        </w:rPr>
        <w:object w:dxaOrig="8518" w:dyaOrig="2612" w14:anchorId="38C88192">
          <v:shape id="_x0000_i1056" type="#_x0000_t75" style="width:425.65pt;height:130.75pt" o:ole="">
            <v:imagedata r:id="rId77" o:title=""/>
          </v:shape>
          <o:OLEObject Type="Link" ProgID="Excel.Sheet.12" ShapeID="_x0000_i1056" DrawAspect="Content" r:id="rId78" UpdateMode="Always">
            <o:LinkType>EnhancedMetaFile</o:LinkType>
            <o:LockedField>false</o:LockedField>
            <o:FieldCodes>\* MERGEFORMAT</o:FieldCodes>
          </o:OLEObject>
        </w:object>
      </w:r>
    </w:p>
    <w:p w14:paraId="387BAB19" w14:textId="77777777" w:rsidR="003A2C8B" w:rsidRPr="00183434" w:rsidRDefault="003A2C8B" w:rsidP="00183434">
      <w:pPr>
        <w:ind w:left="720"/>
        <w:jc w:val="both"/>
        <w:rPr>
          <w:rFonts w:cs="Arial"/>
          <w:sz w:val="23"/>
          <w:szCs w:val="23"/>
        </w:rPr>
      </w:pPr>
    </w:p>
    <w:p w14:paraId="3F1A15D3" w14:textId="77777777" w:rsidR="00386757" w:rsidRPr="00183434" w:rsidRDefault="001B2752" w:rsidP="00183434">
      <w:pPr>
        <w:jc w:val="both"/>
        <w:rPr>
          <w:rFonts w:cs="Arial"/>
          <w:sz w:val="23"/>
          <w:szCs w:val="23"/>
        </w:rPr>
      </w:pPr>
      <w:r w:rsidRPr="00183434">
        <w:rPr>
          <w:rFonts w:cs="Arial"/>
          <w:b/>
          <w:bCs/>
          <w:sz w:val="23"/>
          <w:szCs w:val="23"/>
        </w:rPr>
        <w:t>19</w:t>
      </w:r>
      <w:r w:rsidR="00386757" w:rsidRPr="00183434">
        <w:rPr>
          <w:rFonts w:cs="Arial"/>
          <w:b/>
          <w:bCs/>
          <w:sz w:val="23"/>
          <w:szCs w:val="23"/>
        </w:rPr>
        <w:t>.</w:t>
      </w:r>
      <w:r w:rsidR="00386757" w:rsidRPr="00183434">
        <w:rPr>
          <w:rFonts w:cs="Arial"/>
          <w:sz w:val="23"/>
          <w:szCs w:val="23"/>
        </w:rPr>
        <w:t xml:space="preserve">      </w:t>
      </w:r>
      <w:r w:rsidR="00386757" w:rsidRPr="00183434">
        <w:rPr>
          <w:rFonts w:cs="Arial"/>
          <w:b/>
          <w:sz w:val="23"/>
          <w:szCs w:val="23"/>
          <w:u w:val="single"/>
        </w:rPr>
        <w:t>EXTERNAL AUDIT COSTS</w:t>
      </w:r>
    </w:p>
    <w:p w14:paraId="6A023B20" w14:textId="77777777" w:rsidR="006C2AB2" w:rsidRPr="00183434" w:rsidRDefault="006C2AB2" w:rsidP="00183434">
      <w:pPr>
        <w:ind w:left="720"/>
        <w:jc w:val="both"/>
        <w:rPr>
          <w:rFonts w:cs="Arial"/>
          <w:sz w:val="23"/>
          <w:szCs w:val="23"/>
        </w:rPr>
      </w:pPr>
    </w:p>
    <w:p w14:paraId="79AAFA98" w14:textId="7580D1EC" w:rsidR="006C2AB2" w:rsidRPr="00183434" w:rsidRDefault="006C2AB2" w:rsidP="00183434">
      <w:pPr>
        <w:ind w:left="720"/>
        <w:jc w:val="both"/>
        <w:rPr>
          <w:rFonts w:cs="Arial"/>
          <w:sz w:val="23"/>
          <w:szCs w:val="23"/>
        </w:rPr>
      </w:pPr>
      <w:r w:rsidRPr="00183434">
        <w:rPr>
          <w:rFonts w:cs="Arial"/>
          <w:sz w:val="23"/>
          <w:szCs w:val="23"/>
        </w:rPr>
        <w:t xml:space="preserve">The Council has incurred the following costs in relation to the audit of the Statement of Accounts, certification of grant claims and to non-audit services provided by Mazars LLP who are our appointed auditor. </w:t>
      </w:r>
    </w:p>
    <w:p w14:paraId="2F5C9201" w14:textId="77777777" w:rsidR="006C2AB2" w:rsidRPr="00183434" w:rsidRDefault="006C2AB2" w:rsidP="00183434">
      <w:pPr>
        <w:ind w:left="720"/>
        <w:jc w:val="both"/>
        <w:rPr>
          <w:rFonts w:cs="Arial"/>
          <w:sz w:val="23"/>
          <w:szCs w:val="23"/>
        </w:rPr>
      </w:pPr>
    </w:p>
    <w:p w14:paraId="7EBC8882" w14:textId="77777777" w:rsidR="00495EB1" w:rsidRPr="00183434" w:rsidRDefault="00495EB1" w:rsidP="00183434">
      <w:pPr>
        <w:ind w:left="720"/>
        <w:jc w:val="both"/>
        <w:rPr>
          <w:rFonts w:cs="Arial"/>
          <w:sz w:val="23"/>
          <w:szCs w:val="23"/>
        </w:rPr>
      </w:pPr>
    </w:p>
    <w:p w14:paraId="00AB1BAC" w14:textId="241EAF42" w:rsidR="00811AA8" w:rsidRPr="00183434" w:rsidRDefault="006C2AB2" w:rsidP="00183434">
      <w:pPr>
        <w:ind w:left="709"/>
        <w:jc w:val="both"/>
        <w:rPr>
          <w:rFonts w:cs="Arial"/>
          <w:sz w:val="23"/>
          <w:szCs w:val="23"/>
        </w:rPr>
      </w:pPr>
      <w:r w:rsidRPr="00183434">
        <w:rPr>
          <w:rFonts w:cs="Arial"/>
          <w:sz w:val="23"/>
          <w:szCs w:val="23"/>
        </w:rPr>
        <w:object w:dxaOrig="8300" w:dyaOrig="2290" w14:anchorId="44C70DCB">
          <v:shape id="_x0000_i1057" type="#_x0000_t75" style="width:414.7pt;height:114.6pt" o:ole="">
            <v:imagedata r:id="rId79" o:title=""/>
          </v:shape>
          <o:OLEObject Type="Link" ProgID="Excel.Sheet.12" ShapeID="_x0000_i1057" DrawAspect="Content" r:id="rId80" UpdateMode="Always">
            <o:LinkType>EnhancedMetaFile</o:LinkType>
            <o:LockedField>false</o:LockedField>
            <o:FieldCodes>\* MERGEFORMAT</o:FieldCodes>
          </o:OLEObject>
        </w:object>
      </w:r>
    </w:p>
    <w:p w14:paraId="3F5156AC" w14:textId="77777777" w:rsidR="00811AA8" w:rsidRPr="00183434" w:rsidRDefault="00811AA8" w:rsidP="00183434">
      <w:pPr>
        <w:jc w:val="both"/>
        <w:rPr>
          <w:rFonts w:cs="Arial"/>
          <w:sz w:val="23"/>
          <w:szCs w:val="23"/>
          <w:highlight w:val="cyan"/>
        </w:rPr>
      </w:pPr>
    </w:p>
    <w:p w14:paraId="789F9517" w14:textId="5F50ADED" w:rsidR="00257E9C" w:rsidRDefault="00257E9C">
      <w:pPr>
        <w:rPr>
          <w:rFonts w:cs="Arial"/>
          <w:sz w:val="23"/>
          <w:szCs w:val="23"/>
          <w:highlight w:val="cyan"/>
        </w:rPr>
      </w:pPr>
      <w:r>
        <w:rPr>
          <w:rFonts w:cs="Arial"/>
          <w:sz w:val="23"/>
          <w:szCs w:val="23"/>
          <w:highlight w:val="cyan"/>
        </w:rPr>
        <w:br w:type="page"/>
      </w:r>
    </w:p>
    <w:p w14:paraId="352D37D6" w14:textId="77777777" w:rsidR="003A2C8B" w:rsidRPr="00183434" w:rsidRDefault="003A2C8B" w:rsidP="00183434">
      <w:pPr>
        <w:ind w:left="709"/>
        <w:jc w:val="both"/>
        <w:rPr>
          <w:rFonts w:cs="Arial"/>
          <w:sz w:val="23"/>
          <w:szCs w:val="23"/>
          <w:highlight w:val="cyan"/>
        </w:rPr>
      </w:pPr>
    </w:p>
    <w:p w14:paraId="69F6F2EB" w14:textId="77777777" w:rsidR="00386757" w:rsidRPr="00183434" w:rsidRDefault="006D4BB0" w:rsidP="00183434">
      <w:pPr>
        <w:jc w:val="both"/>
        <w:rPr>
          <w:rFonts w:cs="Arial"/>
          <w:b/>
          <w:sz w:val="23"/>
          <w:szCs w:val="23"/>
          <w:u w:val="single"/>
        </w:rPr>
      </w:pPr>
      <w:r w:rsidRPr="00183434">
        <w:rPr>
          <w:rFonts w:cs="Arial"/>
          <w:b/>
          <w:sz w:val="23"/>
          <w:szCs w:val="23"/>
        </w:rPr>
        <w:t>2</w:t>
      </w:r>
      <w:r w:rsidR="001B2752" w:rsidRPr="00183434">
        <w:rPr>
          <w:rFonts w:cs="Arial"/>
          <w:b/>
          <w:sz w:val="23"/>
          <w:szCs w:val="23"/>
        </w:rPr>
        <w:t>0</w:t>
      </w:r>
      <w:r w:rsidR="00386757" w:rsidRPr="00183434">
        <w:rPr>
          <w:rFonts w:cs="Arial"/>
          <w:sz w:val="23"/>
          <w:szCs w:val="23"/>
        </w:rPr>
        <w:t xml:space="preserve">. </w:t>
      </w:r>
      <w:r w:rsidR="00386757" w:rsidRPr="00183434">
        <w:rPr>
          <w:rFonts w:cs="Arial"/>
          <w:sz w:val="23"/>
          <w:szCs w:val="23"/>
        </w:rPr>
        <w:tab/>
      </w:r>
      <w:r w:rsidR="00386757" w:rsidRPr="00183434">
        <w:rPr>
          <w:rFonts w:cs="Arial"/>
          <w:b/>
          <w:sz w:val="23"/>
          <w:szCs w:val="23"/>
          <w:u w:val="single"/>
        </w:rPr>
        <w:t>MOVEMENTS IN PROPERTY, PLANT &amp; EQUIPMENT</w:t>
      </w:r>
    </w:p>
    <w:p w14:paraId="41D20134" w14:textId="77777777" w:rsidR="002A4058" w:rsidRPr="00183434" w:rsidRDefault="002A4058" w:rsidP="00183434">
      <w:pPr>
        <w:jc w:val="both"/>
        <w:rPr>
          <w:rFonts w:cs="Arial"/>
          <w:b/>
          <w:sz w:val="23"/>
          <w:szCs w:val="23"/>
          <w:u w:val="single"/>
        </w:rPr>
      </w:pPr>
    </w:p>
    <w:p w14:paraId="30850DF2" w14:textId="77777777" w:rsidR="002A4058" w:rsidRPr="00183434" w:rsidRDefault="002A4058" w:rsidP="00183434">
      <w:pPr>
        <w:jc w:val="both"/>
        <w:rPr>
          <w:rFonts w:cs="Arial"/>
          <w:b/>
          <w:sz w:val="23"/>
          <w:szCs w:val="23"/>
          <w:u w:val="single"/>
        </w:rPr>
      </w:pPr>
    </w:p>
    <w:p w14:paraId="7B74BF86" w14:textId="07D8F995" w:rsidR="004944C6" w:rsidRPr="00183434" w:rsidRDefault="00675130" w:rsidP="00183434">
      <w:pPr>
        <w:ind w:firstLine="720"/>
        <w:jc w:val="both"/>
        <w:rPr>
          <w:rFonts w:cs="Arial"/>
          <w:sz w:val="23"/>
          <w:szCs w:val="23"/>
        </w:rPr>
      </w:pPr>
      <w:r w:rsidRPr="00183434">
        <w:rPr>
          <w:rFonts w:cs="Arial"/>
          <w:sz w:val="23"/>
          <w:szCs w:val="23"/>
        </w:rPr>
        <w:object w:dxaOrig="13956" w:dyaOrig="9324" w14:anchorId="5B5DFE4F">
          <v:shape id="_x0000_i1058" type="#_x0000_t75" style="width:449.85pt;height:299.5pt" o:ole="">
            <v:imagedata r:id="rId81" o:title=""/>
          </v:shape>
          <o:OLEObject Type="Link" ProgID="Excel.Sheet.12" ShapeID="_x0000_i1058" DrawAspect="Content" r:id="rId82" UpdateMode="Always">
            <o:LinkType>EnhancedMetaFile</o:LinkType>
            <o:LockedField>false</o:LockedField>
            <o:FieldCodes>\* MERGEFORMAT</o:FieldCodes>
          </o:OLEObject>
        </w:object>
      </w:r>
    </w:p>
    <w:p w14:paraId="48E463E0" w14:textId="77777777" w:rsidR="00386757" w:rsidRPr="00183434" w:rsidRDefault="00386757" w:rsidP="00183434">
      <w:pPr>
        <w:jc w:val="both"/>
        <w:rPr>
          <w:rFonts w:cs="Arial"/>
          <w:sz w:val="23"/>
          <w:szCs w:val="23"/>
        </w:rPr>
      </w:pPr>
    </w:p>
    <w:p w14:paraId="15E61684" w14:textId="1096D92C" w:rsidR="00374AF5" w:rsidRPr="00183434" w:rsidRDefault="00D82167" w:rsidP="00183434">
      <w:pPr>
        <w:ind w:left="-567" w:firstLine="1287"/>
        <w:jc w:val="both"/>
        <w:rPr>
          <w:rFonts w:cs="Arial"/>
          <w:sz w:val="23"/>
          <w:szCs w:val="23"/>
        </w:rPr>
      </w:pPr>
      <w:r w:rsidRPr="00183434">
        <w:rPr>
          <w:rFonts w:cs="Arial"/>
          <w:sz w:val="23"/>
          <w:szCs w:val="23"/>
        </w:rPr>
        <w:object w:dxaOrig="14275" w:dyaOrig="10363" w14:anchorId="62C62CA1">
          <v:shape id="_x0000_i1059" type="#_x0000_t75" style="width:450.45pt;height:327.15pt" o:ole="">
            <v:imagedata r:id="rId83" o:title=""/>
          </v:shape>
          <o:OLEObject Type="Link" ProgID="Excel.Sheet.12" ShapeID="_x0000_i1059" DrawAspect="Content" r:id="rId84" UpdateMode="Always">
            <o:LinkType>EnhancedMetaFile</o:LinkType>
            <o:LockedField>false</o:LockedField>
            <o:FieldCodes>\* MERGEFORMAT</o:FieldCodes>
          </o:OLEObject>
        </w:object>
      </w:r>
    </w:p>
    <w:p w14:paraId="36FA7D07" w14:textId="77777777" w:rsidR="00470DB8" w:rsidRPr="00183434" w:rsidRDefault="00470DB8" w:rsidP="00183434">
      <w:pPr>
        <w:ind w:left="-567"/>
        <w:jc w:val="both"/>
        <w:rPr>
          <w:rFonts w:cs="Arial"/>
          <w:sz w:val="23"/>
          <w:szCs w:val="23"/>
          <w:highlight w:val="cyan"/>
        </w:rPr>
      </w:pPr>
    </w:p>
    <w:p w14:paraId="117470C9" w14:textId="77777777" w:rsidR="003A2C8B" w:rsidRPr="00183434" w:rsidRDefault="003A2C8B" w:rsidP="00183434">
      <w:pPr>
        <w:ind w:firstLine="720"/>
        <w:jc w:val="both"/>
        <w:rPr>
          <w:rFonts w:cs="Arial"/>
          <w:sz w:val="23"/>
          <w:szCs w:val="23"/>
          <w:u w:val="single"/>
        </w:rPr>
      </w:pPr>
    </w:p>
    <w:p w14:paraId="131DCF79" w14:textId="77777777" w:rsidR="003A2C8B" w:rsidRPr="00183434" w:rsidRDefault="003A2C8B" w:rsidP="00183434">
      <w:pPr>
        <w:ind w:firstLine="720"/>
        <w:jc w:val="both"/>
        <w:rPr>
          <w:rFonts w:cs="Arial"/>
          <w:sz w:val="23"/>
          <w:szCs w:val="23"/>
          <w:u w:val="single"/>
        </w:rPr>
      </w:pPr>
    </w:p>
    <w:p w14:paraId="429B3C6D" w14:textId="79AD00DD" w:rsidR="00386757" w:rsidRPr="00183434" w:rsidRDefault="00386757" w:rsidP="00183434">
      <w:pPr>
        <w:ind w:firstLine="720"/>
        <w:jc w:val="both"/>
        <w:rPr>
          <w:rFonts w:cs="Arial"/>
          <w:sz w:val="23"/>
          <w:szCs w:val="23"/>
          <w:u w:val="single"/>
        </w:rPr>
      </w:pPr>
      <w:r w:rsidRPr="00183434">
        <w:rPr>
          <w:rFonts w:cs="Arial"/>
          <w:sz w:val="23"/>
          <w:szCs w:val="23"/>
          <w:u w:val="single"/>
        </w:rPr>
        <w:lastRenderedPageBreak/>
        <w:t>Depreciation</w:t>
      </w:r>
    </w:p>
    <w:p w14:paraId="5869F4FE" w14:textId="77777777" w:rsidR="00386757" w:rsidRPr="00183434" w:rsidRDefault="00386757" w:rsidP="00183434">
      <w:pPr>
        <w:jc w:val="both"/>
        <w:rPr>
          <w:rFonts w:cs="Arial"/>
          <w:sz w:val="23"/>
          <w:szCs w:val="23"/>
        </w:rPr>
      </w:pPr>
    </w:p>
    <w:p w14:paraId="73E8947B" w14:textId="77777777" w:rsidR="00386757" w:rsidRPr="00183434" w:rsidRDefault="00386757" w:rsidP="00183434">
      <w:pPr>
        <w:ind w:left="720"/>
        <w:jc w:val="both"/>
        <w:rPr>
          <w:rFonts w:cs="Arial"/>
          <w:sz w:val="23"/>
          <w:szCs w:val="23"/>
        </w:rPr>
      </w:pPr>
      <w:r w:rsidRPr="00183434">
        <w:rPr>
          <w:rFonts w:cs="Arial"/>
          <w:sz w:val="23"/>
          <w:szCs w:val="23"/>
        </w:rPr>
        <w:t>The following useful lives and depreciation rates have been used in the calculation of depreciation:</w:t>
      </w:r>
    </w:p>
    <w:p w14:paraId="3C951537" w14:textId="77777777" w:rsidR="00386757" w:rsidRPr="00183434" w:rsidRDefault="00386757" w:rsidP="00183434">
      <w:pPr>
        <w:ind w:left="720"/>
        <w:jc w:val="both"/>
        <w:rPr>
          <w:rFonts w:cs="Arial"/>
          <w:sz w:val="23"/>
          <w:szCs w:val="23"/>
        </w:rPr>
      </w:pPr>
    </w:p>
    <w:p w14:paraId="3E5BB36D" w14:textId="77777777" w:rsidR="00386757" w:rsidRPr="00183434" w:rsidRDefault="00386757" w:rsidP="00183434">
      <w:pPr>
        <w:ind w:firstLine="720"/>
        <w:jc w:val="both"/>
        <w:rPr>
          <w:rFonts w:cs="Arial"/>
          <w:sz w:val="23"/>
          <w:szCs w:val="23"/>
        </w:rPr>
      </w:pPr>
      <w:r w:rsidRPr="00183434">
        <w:rPr>
          <w:rFonts w:cs="Arial"/>
          <w:sz w:val="23"/>
          <w:szCs w:val="23"/>
        </w:rPr>
        <w:t xml:space="preserve">Council Dwellings: </w:t>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006052DC" w:rsidRPr="00183434">
        <w:rPr>
          <w:rFonts w:cs="Arial"/>
          <w:sz w:val="23"/>
          <w:szCs w:val="23"/>
        </w:rPr>
        <w:t>9</w:t>
      </w:r>
      <w:r w:rsidRPr="00183434">
        <w:rPr>
          <w:rFonts w:cs="Arial"/>
          <w:sz w:val="23"/>
          <w:szCs w:val="23"/>
        </w:rPr>
        <w:t xml:space="preserve"> – </w:t>
      </w:r>
      <w:r w:rsidR="00631A84" w:rsidRPr="00183434">
        <w:rPr>
          <w:rFonts w:cs="Arial"/>
          <w:sz w:val="23"/>
          <w:szCs w:val="23"/>
        </w:rPr>
        <w:t>4</w:t>
      </w:r>
      <w:r w:rsidRPr="00183434">
        <w:rPr>
          <w:rFonts w:cs="Arial"/>
          <w:sz w:val="23"/>
          <w:szCs w:val="23"/>
        </w:rPr>
        <w:t>0 years</w:t>
      </w:r>
    </w:p>
    <w:p w14:paraId="5EFF2B45" w14:textId="77777777" w:rsidR="00386757" w:rsidRPr="00183434" w:rsidRDefault="00386757" w:rsidP="00183434">
      <w:pPr>
        <w:ind w:firstLine="720"/>
        <w:jc w:val="both"/>
        <w:rPr>
          <w:rFonts w:cs="Arial"/>
          <w:sz w:val="23"/>
          <w:szCs w:val="23"/>
        </w:rPr>
      </w:pPr>
      <w:r w:rsidRPr="00183434">
        <w:rPr>
          <w:rFonts w:cs="Arial"/>
          <w:sz w:val="23"/>
          <w:szCs w:val="23"/>
        </w:rPr>
        <w:t>Other Land &amp; Buildings:</w:t>
      </w:r>
      <w:r w:rsidRPr="00183434">
        <w:rPr>
          <w:rFonts w:cs="Arial"/>
          <w:sz w:val="23"/>
          <w:szCs w:val="23"/>
        </w:rPr>
        <w:tab/>
      </w:r>
      <w:r w:rsidRPr="00183434">
        <w:rPr>
          <w:rFonts w:cs="Arial"/>
          <w:sz w:val="23"/>
          <w:szCs w:val="23"/>
        </w:rPr>
        <w:tab/>
      </w:r>
      <w:r w:rsidRPr="00183434">
        <w:rPr>
          <w:rFonts w:cs="Arial"/>
          <w:sz w:val="23"/>
          <w:szCs w:val="23"/>
        </w:rPr>
        <w:tab/>
      </w:r>
      <w:r w:rsidR="00DF0335" w:rsidRPr="00183434">
        <w:rPr>
          <w:rFonts w:cs="Arial"/>
          <w:sz w:val="23"/>
          <w:szCs w:val="23"/>
        </w:rPr>
        <w:t>1</w:t>
      </w:r>
      <w:r w:rsidRPr="00183434">
        <w:rPr>
          <w:rFonts w:cs="Arial"/>
          <w:sz w:val="23"/>
          <w:szCs w:val="23"/>
        </w:rPr>
        <w:t xml:space="preserve"> – </w:t>
      </w:r>
      <w:r w:rsidR="00DF0335" w:rsidRPr="00183434">
        <w:rPr>
          <w:rFonts w:cs="Arial"/>
          <w:sz w:val="23"/>
          <w:szCs w:val="23"/>
        </w:rPr>
        <w:t>7</w:t>
      </w:r>
      <w:r w:rsidR="000B1BDF" w:rsidRPr="00183434">
        <w:rPr>
          <w:rFonts w:cs="Arial"/>
          <w:sz w:val="23"/>
          <w:szCs w:val="23"/>
        </w:rPr>
        <w:t>5</w:t>
      </w:r>
      <w:r w:rsidRPr="00183434">
        <w:rPr>
          <w:rFonts w:cs="Arial"/>
          <w:sz w:val="23"/>
          <w:szCs w:val="23"/>
        </w:rPr>
        <w:t xml:space="preserve"> years</w:t>
      </w:r>
    </w:p>
    <w:p w14:paraId="7E2BEBA0" w14:textId="77777777" w:rsidR="00386757" w:rsidRPr="00183434" w:rsidRDefault="00386757" w:rsidP="00183434">
      <w:pPr>
        <w:ind w:firstLine="720"/>
        <w:jc w:val="both"/>
        <w:rPr>
          <w:rFonts w:cs="Arial"/>
          <w:sz w:val="23"/>
          <w:szCs w:val="23"/>
        </w:rPr>
      </w:pPr>
      <w:r w:rsidRPr="00183434">
        <w:rPr>
          <w:rFonts w:cs="Arial"/>
          <w:sz w:val="23"/>
          <w:szCs w:val="23"/>
        </w:rPr>
        <w:t xml:space="preserve">Vehicles, Plant, Furniture &amp; Equipment: </w:t>
      </w:r>
      <w:r w:rsidRPr="00183434">
        <w:rPr>
          <w:rFonts w:cs="Arial"/>
          <w:sz w:val="23"/>
          <w:szCs w:val="23"/>
        </w:rPr>
        <w:tab/>
      </w:r>
      <w:r w:rsidR="00A01BC3" w:rsidRPr="00183434">
        <w:rPr>
          <w:rFonts w:cs="Arial"/>
          <w:sz w:val="23"/>
          <w:szCs w:val="23"/>
        </w:rPr>
        <w:t>1</w:t>
      </w:r>
      <w:r w:rsidR="006052DC" w:rsidRPr="00183434">
        <w:rPr>
          <w:rFonts w:cs="Arial"/>
          <w:sz w:val="23"/>
          <w:szCs w:val="23"/>
        </w:rPr>
        <w:t xml:space="preserve"> – 10 years</w:t>
      </w:r>
    </w:p>
    <w:p w14:paraId="75FB5919" w14:textId="77777777" w:rsidR="00386757" w:rsidRPr="00183434" w:rsidRDefault="00386757" w:rsidP="00183434">
      <w:pPr>
        <w:ind w:firstLine="720"/>
        <w:jc w:val="both"/>
        <w:rPr>
          <w:rFonts w:cs="Arial"/>
          <w:sz w:val="23"/>
          <w:szCs w:val="23"/>
        </w:rPr>
      </w:pPr>
      <w:r w:rsidRPr="00183434">
        <w:rPr>
          <w:rFonts w:cs="Arial"/>
          <w:sz w:val="23"/>
          <w:szCs w:val="23"/>
        </w:rPr>
        <w:t>Infrastructure</w:t>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r>
      <w:r w:rsidRPr="00183434">
        <w:rPr>
          <w:rFonts w:cs="Arial"/>
          <w:sz w:val="23"/>
          <w:szCs w:val="23"/>
        </w:rPr>
        <w:tab/>
        <w:t xml:space="preserve">20 – </w:t>
      </w:r>
      <w:r w:rsidR="00DF0335" w:rsidRPr="00183434">
        <w:rPr>
          <w:rFonts w:cs="Arial"/>
          <w:sz w:val="23"/>
          <w:szCs w:val="23"/>
        </w:rPr>
        <w:t>3</w:t>
      </w:r>
      <w:r w:rsidR="000B1BDF" w:rsidRPr="00183434">
        <w:rPr>
          <w:rFonts w:cs="Arial"/>
          <w:sz w:val="23"/>
          <w:szCs w:val="23"/>
        </w:rPr>
        <w:t>5</w:t>
      </w:r>
      <w:r w:rsidRPr="00183434">
        <w:rPr>
          <w:rFonts w:cs="Arial"/>
          <w:sz w:val="23"/>
          <w:szCs w:val="23"/>
        </w:rPr>
        <w:t xml:space="preserve"> years</w:t>
      </w:r>
    </w:p>
    <w:p w14:paraId="46961D93" w14:textId="77777777" w:rsidR="00CB2599" w:rsidRPr="00183434" w:rsidRDefault="00CB2599" w:rsidP="00183434">
      <w:pPr>
        <w:ind w:left="720"/>
        <w:jc w:val="both"/>
        <w:rPr>
          <w:rFonts w:cs="Arial"/>
          <w:sz w:val="23"/>
          <w:szCs w:val="23"/>
        </w:rPr>
      </w:pPr>
    </w:p>
    <w:p w14:paraId="106DB6C7" w14:textId="11F35826" w:rsidR="00A0554A" w:rsidRPr="00183434" w:rsidRDefault="00A0554A" w:rsidP="00183434">
      <w:pPr>
        <w:jc w:val="both"/>
        <w:rPr>
          <w:rFonts w:cs="Arial"/>
          <w:b/>
          <w:sz w:val="23"/>
          <w:szCs w:val="23"/>
        </w:rPr>
      </w:pPr>
    </w:p>
    <w:p w14:paraId="57F9985A" w14:textId="7D7F1C4D" w:rsidR="00CB2599" w:rsidRPr="00183434" w:rsidRDefault="006D4BB0" w:rsidP="00183434">
      <w:pPr>
        <w:jc w:val="both"/>
        <w:rPr>
          <w:rFonts w:cs="Arial"/>
          <w:b/>
          <w:sz w:val="23"/>
          <w:szCs w:val="23"/>
          <w:u w:val="single"/>
        </w:rPr>
      </w:pPr>
      <w:r w:rsidRPr="00183434">
        <w:rPr>
          <w:rFonts w:cs="Arial"/>
          <w:b/>
          <w:sz w:val="23"/>
          <w:szCs w:val="23"/>
        </w:rPr>
        <w:t>2</w:t>
      </w:r>
      <w:r w:rsidR="001B2752" w:rsidRPr="00183434">
        <w:rPr>
          <w:rFonts w:cs="Arial"/>
          <w:b/>
          <w:sz w:val="23"/>
          <w:szCs w:val="23"/>
        </w:rPr>
        <w:t>1</w:t>
      </w:r>
      <w:r w:rsidR="00CB2599" w:rsidRPr="00183434">
        <w:rPr>
          <w:rFonts w:cs="Arial"/>
          <w:sz w:val="23"/>
          <w:szCs w:val="23"/>
        </w:rPr>
        <w:t>.</w:t>
      </w:r>
      <w:r w:rsidR="00CB2599" w:rsidRPr="00183434">
        <w:rPr>
          <w:rFonts w:cs="Arial"/>
          <w:sz w:val="23"/>
          <w:szCs w:val="23"/>
        </w:rPr>
        <w:tab/>
      </w:r>
      <w:r w:rsidR="00CB2599" w:rsidRPr="00183434">
        <w:rPr>
          <w:rFonts w:cs="Arial"/>
          <w:b/>
          <w:sz w:val="23"/>
          <w:szCs w:val="23"/>
          <w:u w:val="single"/>
        </w:rPr>
        <w:t>SURPLUS ASSETS</w:t>
      </w:r>
    </w:p>
    <w:p w14:paraId="1D56A970" w14:textId="77777777" w:rsidR="00CB2599" w:rsidRPr="00183434" w:rsidRDefault="00CB2599" w:rsidP="00183434">
      <w:pPr>
        <w:jc w:val="both"/>
        <w:rPr>
          <w:rFonts w:cs="Arial"/>
          <w:b/>
          <w:sz w:val="23"/>
          <w:szCs w:val="23"/>
          <w:u w:val="single"/>
        </w:rPr>
      </w:pPr>
    </w:p>
    <w:p w14:paraId="20AEE104" w14:textId="77777777" w:rsidR="00CB2599" w:rsidRPr="00183434" w:rsidRDefault="00CB2599" w:rsidP="00183434">
      <w:pPr>
        <w:pStyle w:val="BodyTextIndent3"/>
        <w:ind w:left="0"/>
        <w:jc w:val="both"/>
        <w:rPr>
          <w:rFonts w:cs="Arial"/>
          <w:szCs w:val="23"/>
          <w:u w:val="single"/>
        </w:rPr>
      </w:pPr>
      <w:r w:rsidRPr="00183434">
        <w:rPr>
          <w:rFonts w:cs="Arial"/>
          <w:szCs w:val="23"/>
        </w:rPr>
        <w:tab/>
      </w:r>
      <w:r w:rsidRPr="00183434">
        <w:rPr>
          <w:rFonts w:cs="Arial"/>
          <w:szCs w:val="23"/>
          <w:u w:val="single"/>
        </w:rPr>
        <w:t>Fair Value Hierarchy</w:t>
      </w:r>
    </w:p>
    <w:p w14:paraId="6FFB1A30" w14:textId="77777777" w:rsidR="00CB2599" w:rsidRPr="00183434" w:rsidRDefault="00CB2599" w:rsidP="00183434">
      <w:pPr>
        <w:pStyle w:val="BodyTextIndent3"/>
        <w:ind w:left="0"/>
        <w:jc w:val="both"/>
        <w:rPr>
          <w:rFonts w:cs="Arial"/>
          <w:szCs w:val="23"/>
          <w:u w:val="single"/>
        </w:rPr>
      </w:pPr>
    </w:p>
    <w:p w14:paraId="0F288513" w14:textId="7A40FE33" w:rsidR="00CB2599" w:rsidRPr="00183434" w:rsidRDefault="00CB2599" w:rsidP="00183434">
      <w:pPr>
        <w:pStyle w:val="BodyTextIndent3"/>
        <w:jc w:val="both"/>
        <w:rPr>
          <w:rFonts w:cs="Arial"/>
          <w:szCs w:val="23"/>
        </w:rPr>
      </w:pPr>
      <w:r w:rsidRPr="00183434">
        <w:rPr>
          <w:rFonts w:cs="Arial"/>
          <w:szCs w:val="23"/>
        </w:rPr>
        <w:t xml:space="preserve">Details of surplus assets and information about their fair value hierarchy </w:t>
      </w:r>
      <w:proofErr w:type="gramStart"/>
      <w:r w:rsidRPr="00183434">
        <w:rPr>
          <w:rFonts w:cs="Arial"/>
          <w:szCs w:val="23"/>
        </w:rPr>
        <w:t>at</w:t>
      </w:r>
      <w:proofErr w:type="gramEnd"/>
      <w:r w:rsidRPr="00183434">
        <w:rPr>
          <w:rFonts w:cs="Arial"/>
          <w:szCs w:val="23"/>
        </w:rPr>
        <w:t xml:space="preserve"> 31</w:t>
      </w:r>
      <w:r w:rsidRPr="00183434">
        <w:rPr>
          <w:rFonts w:cs="Arial"/>
          <w:szCs w:val="23"/>
          <w:vertAlign w:val="superscript"/>
        </w:rPr>
        <w:t>st</w:t>
      </w:r>
      <w:r w:rsidR="00811AA8" w:rsidRPr="00183434">
        <w:rPr>
          <w:rFonts w:cs="Arial"/>
          <w:szCs w:val="23"/>
        </w:rPr>
        <w:t xml:space="preserve"> </w:t>
      </w:r>
      <w:r w:rsidR="006B40B6" w:rsidRPr="00183434">
        <w:rPr>
          <w:rFonts w:cs="Arial"/>
          <w:szCs w:val="23"/>
        </w:rPr>
        <w:t>March</w:t>
      </w:r>
      <w:r w:rsidR="00191059" w:rsidRPr="00183434">
        <w:rPr>
          <w:rFonts w:cs="Arial"/>
          <w:szCs w:val="23"/>
        </w:rPr>
        <w:t xml:space="preserve"> 202</w:t>
      </w:r>
      <w:r w:rsidR="00A0554A" w:rsidRPr="00183434">
        <w:rPr>
          <w:rFonts w:cs="Arial"/>
          <w:szCs w:val="23"/>
        </w:rPr>
        <w:t>6</w:t>
      </w:r>
      <w:r w:rsidR="006B40B6" w:rsidRPr="00183434">
        <w:rPr>
          <w:rFonts w:cs="Arial"/>
          <w:szCs w:val="23"/>
        </w:rPr>
        <w:t xml:space="preserve"> are</w:t>
      </w:r>
      <w:r w:rsidRPr="00183434">
        <w:rPr>
          <w:rFonts w:cs="Arial"/>
          <w:szCs w:val="23"/>
        </w:rPr>
        <w:t xml:space="preserve"> as follows:</w:t>
      </w:r>
    </w:p>
    <w:p w14:paraId="2085D118" w14:textId="77777777" w:rsidR="003C563D" w:rsidRPr="00183434" w:rsidRDefault="003C563D" w:rsidP="00183434">
      <w:pPr>
        <w:pStyle w:val="BodyTextIndent3"/>
        <w:jc w:val="both"/>
        <w:rPr>
          <w:rFonts w:cs="Arial"/>
          <w:szCs w:val="23"/>
        </w:rPr>
      </w:pPr>
    </w:p>
    <w:p w14:paraId="48B3391F" w14:textId="620FAE3D" w:rsidR="00CB2599" w:rsidRPr="00183434" w:rsidRDefault="003A2C8B" w:rsidP="00183434">
      <w:pPr>
        <w:pStyle w:val="BodyTextIndent3"/>
        <w:jc w:val="both"/>
        <w:rPr>
          <w:rFonts w:cs="Arial"/>
          <w:szCs w:val="23"/>
        </w:rPr>
      </w:pPr>
      <w:r w:rsidRPr="00183434">
        <w:rPr>
          <w:rFonts w:cs="Arial"/>
          <w:szCs w:val="23"/>
        </w:rPr>
        <w:object w:dxaOrig="8260" w:dyaOrig="1810" w14:anchorId="710100BF">
          <v:shape id="_x0000_i1060" type="#_x0000_t75" style="width:424.5pt;height:92.75pt" o:ole="">
            <v:imagedata r:id="rId85" o:title=""/>
          </v:shape>
          <o:OLEObject Type="Link" ProgID="Excel.Sheet.12" ShapeID="_x0000_i1060" DrawAspect="Content" r:id="rId86" UpdateMode="Always">
            <o:LinkType>EnhancedMetaFile</o:LinkType>
            <o:LockedField>false</o:LockedField>
            <o:FieldCodes>\* MERGEFORMAT</o:FieldCodes>
          </o:OLEObject>
        </w:object>
      </w:r>
    </w:p>
    <w:p w14:paraId="1EA324F8" w14:textId="77777777" w:rsidR="00D66ED1" w:rsidRPr="00183434" w:rsidRDefault="00D66ED1" w:rsidP="00183434">
      <w:pPr>
        <w:pStyle w:val="BodyTextIndent3"/>
        <w:jc w:val="both"/>
        <w:rPr>
          <w:rFonts w:cs="Arial"/>
          <w:szCs w:val="23"/>
        </w:rPr>
      </w:pPr>
    </w:p>
    <w:p w14:paraId="73CDF53D" w14:textId="1ED0C2B2" w:rsidR="00A01BC3" w:rsidRPr="00183434" w:rsidRDefault="003A2C8B" w:rsidP="00183434">
      <w:pPr>
        <w:pStyle w:val="BodyTextIndent3"/>
        <w:jc w:val="both"/>
        <w:rPr>
          <w:rFonts w:cs="Arial"/>
          <w:szCs w:val="23"/>
        </w:rPr>
      </w:pPr>
      <w:r w:rsidRPr="00183434">
        <w:rPr>
          <w:rFonts w:cs="Arial"/>
          <w:szCs w:val="23"/>
        </w:rPr>
        <w:object w:dxaOrig="8260" w:dyaOrig="1810" w14:anchorId="4E42F7C9">
          <v:shape id="_x0000_i1061" type="#_x0000_t75" style="width:424.5pt;height:90.45pt" o:ole="">
            <v:imagedata r:id="rId87" o:title=""/>
          </v:shape>
          <o:OLEObject Type="Link" ProgID="Excel.Sheet.12" ShapeID="_x0000_i1061" DrawAspect="Content" r:id="rId88" UpdateMode="Always">
            <o:LinkType>EnhancedMetaFile</o:LinkType>
            <o:LockedField>false</o:LockedField>
            <o:FieldCodes>\* MERGEFORMAT</o:FieldCodes>
          </o:OLEObject>
        </w:object>
      </w:r>
    </w:p>
    <w:p w14:paraId="7F484738" w14:textId="77777777" w:rsidR="00811AA8" w:rsidRPr="00183434" w:rsidRDefault="00811AA8" w:rsidP="00183434">
      <w:pPr>
        <w:pStyle w:val="BodyTextIndent3"/>
        <w:jc w:val="both"/>
        <w:rPr>
          <w:rFonts w:cs="Arial"/>
          <w:szCs w:val="23"/>
          <w:highlight w:val="cyan"/>
        </w:rPr>
      </w:pPr>
    </w:p>
    <w:p w14:paraId="12E13D43" w14:textId="77777777" w:rsidR="009C3CA9" w:rsidRPr="00183434" w:rsidRDefault="00CB2599" w:rsidP="00183434">
      <w:pPr>
        <w:jc w:val="both"/>
        <w:rPr>
          <w:rFonts w:cs="Arial"/>
          <w:sz w:val="23"/>
          <w:szCs w:val="23"/>
        </w:rPr>
      </w:pPr>
      <w:r w:rsidRPr="00183434">
        <w:rPr>
          <w:rFonts w:cs="Arial"/>
          <w:sz w:val="23"/>
          <w:szCs w:val="23"/>
        </w:rPr>
        <w:tab/>
      </w:r>
    </w:p>
    <w:p w14:paraId="65F7E803" w14:textId="77777777" w:rsidR="00CB2599" w:rsidRPr="00183434" w:rsidRDefault="00CB2599" w:rsidP="00183434">
      <w:pPr>
        <w:ind w:firstLine="720"/>
        <w:jc w:val="both"/>
        <w:rPr>
          <w:rFonts w:cs="Arial"/>
          <w:sz w:val="23"/>
          <w:szCs w:val="23"/>
        </w:rPr>
      </w:pPr>
      <w:r w:rsidRPr="00183434">
        <w:rPr>
          <w:rFonts w:cs="Arial"/>
          <w:sz w:val="23"/>
          <w:szCs w:val="23"/>
        </w:rPr>
        <w:t>There were no transfers between Levels 2 and 3 during the year.</w:t>
      </w:r>
    </w:p>
    <w:p w14:paraId="728CAF87" w14:textId="77777777" w:rsidR="00202514" w:rsidRPr="00183434" w:rsidRDefault="00202514" w:rsidP="00183434">
      <w:pPr>
        <w:jc w:val="both"/>
        <w:rPr>
          <w:rFonts w:cs="Arial"/>
          <w:sz w:val="23"/>
          <w:szCs w:val="23"/>
        </w:rPr>
      </w:pPr>
    </w:p>
    <w:p w14:paraId="1A36B23A" w14:textId="77777777" w:rsidR="00202514" w:rsidRPr="00183434" w:rsidRDefault="00202514" w:rsidP="00183434">
      <w:pPr>
        <w:jc w:val="both"/>
        <w:rPr>
          <w:rFonts w:cs="Arial"/>
          <w:sz w:val="23"/>
          <w:szCs w:val="23"/>
          <w:u w:val="single"/>
        </w:rPr>
      </w:pPr>
      <w:r w:rsidRPr="00183434">
        <w:rPr>
          <w:rFonts w:cs="Arial"/>
          <w:sz w:val="23"/>
          <w:szCs w:val="23"/>
        </w:rPr>
        <w:tab/>
      </w:r>
      <w:r w:rsidRPr="00183434">
        <w:rPr>
          <w:rFonts w:cs="Arial"/>
          <w:sz w:val="23"/>
          <w:szCs w:val="23"/>
          <w:u w:val="single"/>
        </w:rPr>
        <w:t>Valuation Techniques used to Determine Level 2 and 3 Fair Values</w:t>
      </w:r>
    </w:p>
    <w:p w14:paraId="3F600900" w14:textId="77777777" w:rsidR="00202514" w:rsidRPr="00183434" w:rsidRDefault="00202514" w:rsidP="00183434">
      <w:pPr>
        <w:jc w:val="both"/>
        <w:rPr>
          <w:rFonts w:cs="Arial"/>
          <w:sz w:val="23"/>
          <w:szCs w:val="23"/>
          <w:u w:val="single"/>
        </w:rPr>
      </w:pPr>
    </w:p>
    <w:p w14:paraId="62462C19" w14:textId="77777777" w:rsidR="00202514" w:rsidRPr="00183434" w:rsidRDefault="00202514" w:rsidP="00183434">
      <w:pPr>
        <w:jc w:val="both"/>
        <w:rPr>
          <w:rFonts w:cs="Arial"/>
          <w:sz w:val="23"/>
          <w:szCs w:val="23"/>
          <w:u w:val="single"/>
        </w:rPr>
      </w:pPr>
      <w:r w:rsidRPr="00183434">
        <w:rPr>
          <w:rFonts w:cs="Arial"/>
          <w:sz w:val="23"/>
          <w:szCs w:val="23"/>
        </w:rPr>
        <w:tab/>
      </w:r>
      <w:r w:rsidRPr="00183434">
        <w:rPr>
          <w:rFonts w:cs="Arial"/>
          <w:sz w:val="23"/>
          <w:szCs w:val="23"/>
          <w:u w:val="single"/>
        </w:rPr>
        <w:t>Significant Observable Inputs – Level 2</w:t>
      </w:r>
    </w:p>
    <w:p w14:paraId="3916B8E3" w14:textId="77777777" w:rsidR="00202514" w:rsidRPr="00183434" w:rsidRDefault="00202514" w:rsidP="00183434">
      <w:pPr>
        <w:jc w:val="both"/>
        <w:rPr>
          <w:rFonts w:cs="Arial"/>
          <w:sz w:val="23"/>
          <w:szCs w:val="23"/>
          <w:highlight w:val="cyan"/>
          <w:u w:val="single"/>
        </w:rPr>
      </w:pPr>
    </w:p>
    <w:p w14:paraId="37BFB555" w14:textId="77777777" w:rsidR="00202514" w:rsidRPr="00183434" w:rsidRDefault="00202514" w:rsidP="00183434">
      <w:pPr>
        <w:ind w:left="720"/>
        <w:jc w:val="both"/>
        <w:rPr>
          <w:rFonts w:cs="Arial"/>
          <w:sz w:val="23"/>
          <w:szCs w:val="23"/>
        </w:rPr>
      </w:pPr>
      <w:r w:rsidRPr="00183434">
        <w:rPr>
          <w:rFonts w:cs="Arial"/>
          <w:sz w:val="23"/>
          <w:szCs w:val="23"/>
        </w:rPr>
        <w:t xml:space="preserve">The fair value for the surplus assets has been based on a market approach using current market evidence including recent sale prices/rentals achieved and other relevant information for similar assets within the local authority area. Market conditions are such that similar properties have actively sold or </w:t>
      </w:r>
      <w:proofErr w:type="gramStart"/>
      <w:r w:rsidRPr="00183434">
        <w:rPr>
          <w:rFonts w:cs="Arial"/>
          <w:sz w:val="23"/>
          <w:szCs w:val="23"/>
        </w:rPr>
        <w:t>let</w:t>
      </w:r>
      <w:proofErr w:type="gramEnd"/>
      <w:r w:rsidRPr="00183434">
        <w:rPr>
          <w:rFonts w:cs="Arial"/>
          <w:sz w:val="23"/>
          <w:szCs w:val="23"/>
        </w:rPr>
        <w:t xml:space="preserve"> and the </w:t>
      </w:r>
      <w:r w:rsidR="00D33B48" w:rsidRPr="00183434">
        <w:rPr>
          <w:rFonts w:cs="Arial"/>
          <w:sz w:val="23"/>
          <w:szCs w:val="23"/>
        </w:rPr>
        <w:t>level</w:t>
      </w:r>
      <w:r w:rsidRPr="00183434">
        <w:rPr>
          <w:rFonts w:cs="Arial"/>
          <w:sz w:val="23"/>
          <w:szCs w:val="23"/>
        </w:rPr>
        <w:t xml:space="preserve"> of observable inputs are significant.</w:t>
      </w:r>
    </w:p>
    <w:p w14:paraId="509C41B0" w14:textId="77777777" w:rsidR="00CB2599" w:rsidRPr="00183434" w:rsidRDefault="00CB2599" w:rsidP="00183434">
      <w:pPr>
        <w:jc w:val="both"/>
        <w:rPr>
          <w:rFonts w:cs="Arial"/>
          <w:sz w:val="23"/>
          <w:szCs w:val="23"/>
        </w:rPr>
      </w:pPr>
    </w:p>
    <w:p w14:paraId="1590E58A" w14:textId="77777777" w:rsidR="00202514" w:rsidRPr="00183434" w:rsidRDefault="00202514" w:rsidP="00183434">
      <w:pPr>
        <w:ind w:left="720"/>
        <w:jc w:val="both"/>
        <w:rPr>
          <w:rFonts w:cs="Arial"/>
          <w:sz w:val="23"/>
          <w:szCs w:val="23"/>
          <w:u w:val="single"/>
        </w:rPr>
      </w:pPr>
      <w:r w:rsidRPr="00183434">
        <w:rPr>
          <w:rFonts w:cs="Arial"/>
          <w:sz w:val="23"/>
          <w:szCs w:val="23"/>
          <w:u w:val="single"/>
        </w:rPr>
        <w:t>Significant Unobservable Inputs – Level 3</w:t>
      </w:r>
    </w:p>
    <w:p w14:paraId="72C2A87C" w14:textId="77777777" w:rsidR="00733CBB" w:rsidRPr="00183434" w:rsidRDefault="00733CBB" w:rsidP="00183434">
      <w:pPr>
        <w:ind w:left="720"/>
        <w:jc w:val="both"/>
        <w:rPr>
          <w:rFonts w:cs="Arial"/>
          <w:sz w:val="23"/>
          <w:szCs w:val="23"/>
        </w:rPr>
      </w:pPr>
    </w:p>
    <w:p w14:paraId="30C69695" w14:textId="09F6085F" w:rsidR="00202514" w:rsidRPr="00183434" w:rsidRDefault="00202514" w:rsidP="00183434">
      <w:pPr>
        <w:ind w:left="720"/>
        <w:jc w:val="both"/>
        <w:rPr>
          <w:rFonts w:cs="Arial"/>
          <w:sz w:val="23"/>
          <w:szCs w:val="23"/>
        </w:rPr>
      </w:pPr>
      <w:r w:rsidRPr="00183434">
        <w:rPr>
          <w:rFonts w:cs="Arial"/>
          <w:sz w:val="23"/>
          <w:szCs w:val="23"/>
        </w:rPr>
        <w:t>These valuations are histor</w:t>
      </w:r>
      <w:r w:rsidR="00B36C93" w:rsidRPr="00183434">
        <w:rPr>
          <w:rFonts w:cs="Arial"/>
          <w:sz w:val="23"/>
          <w:szCs w:val="23"/>
        </w:rPr>
        <w:t>ic based on existing use values</w:t>
      </w:r>
      <w:r w:rsidRPr="00183434">
        <w:rPr>
          <w:rFonts w:cs="Arial"/>
          <w:sz w:val="23"/>
          <w:szCs w:val="23"/>
        </w:rPr>
        <w:t xml:space="preserve"> and/or based on unobservable inputs. These assets will be revalued</w:t>
      </w:r>
      <w:r w:rsidR="00FC73AD" w:rsidRPr="00183434">
        <w:rPr>
          <w:rFonts w:cs="Arial"/>
          <w:sz w:val="23"/>
          <w:szCs w:val="23"/>
        </w:rPr>
        <w:t xml:space="preserve"> in 20</w:t>
      </w:r>
      <w:r w:rsidR="00C67162" w:rsidRPr="00183434">
        <w:rPr>
          <w:rFonts w:cs="Arial"/>
          <w:sz w:val="23"/>
          <w:szCs w:val="23"/>
        </w:rPr>
        <w:t>2</w:t>
      </w:r>
      <w:r w:rsidR="002209AD" w:rsidRPr="00183434">
        <w:rPr>
          <w:rFonts w:cs="Arial"/>
          <w:sz w:val="23"/>
          <w:szCs w:val="23"/>
        </w:rPr>
        <w:t>5</w:t>
      </w:r>
      <w:r w:rsidR="001F78D1" w:rsidRPr="00183434">
        <w:rPr>
          <w:rFonts w:cs="Arial"/>
          <w:sz w:val="23"/>
          <w:szCs w:val="23"/>
        </w:rPr>
        <w:t>/2</w:t>
      </w:r>
      <w:r w:rsidR="002209AD" w:rsidRPr="00183434">
        <w:rPr>
          <w:rFonts w:cs="Arial"/>
          <w:sz w:val="23"/>
          <w:szCs w:val="23"/>
        </w:rPr>
        <w:t>6</w:t>
      </w:r>
      <w:r w:rsidR="00B36C93" w:rsidRPr="00183434">
        <w:rPr>
          <w:rFonts w:cs="Arial"/>
          <w:sz w:val="23"/>
          <w:szCs w:val="23"/>
        </w:rPr>
        <w:t xml:space="preserve"> to allow confirmation of their fair value hierarchy classifications.</w:t>
      </w:r>
    </w:p>
    <w:p w14:paraId="4D8B9D95" w14:textId="77777777" w:rsidR="00135056" w:rsidRPr="00183434" w:rsidRDefault="00135056" w:rsidP="00183434">
      <w:pPr>
        <w:ind w:left="720"/>
        <w:jc w:val="both"/>
        <w:rPr>
          <w:rFonts w:cs="Arial"/>
          <w:sz w:val="23"/>
          <w:szCs w:val="23"/>
        </w:rPr>
      </w:pPr>
    </w:p>
    <w:p w14:paraId="0029339A" w14:textId="77777777" w:rsidR="00961693" w:rsidRPr="00183434" w:rsidRDefault="00961693" w:rsidP="00183434">
      <w:pPr>
        <w:ind w:left="720"/>
        <w:jc w:val="both"/>
        <w:rPr>
          <w:rFonts w:cs="Arial"/>
          <w:sz w:val="23"/>
          <w:szCs w:val="23"/>
        </w:rPr>
      </w:pPr>
    </w:p>
    <w:p w14:paraId="47AD3F96" w14:textId="77777777" w:rsidR="00961693" w:rsidRPr="00183434" w:rsidRDefault="00961693" w:rsidP="00183434">
      <w:pPr>
        <w:ind w:left="720"/>
        <w:jc w:val="both"/>
        <w:rPr>
          <w:rFonts w:cs="Arial"/>
          <w:sz w:val="23"/>
          <w:szCs w:val="23"/>
          <w:highlight w:val="cyan"/>
        </w:rPr>
      </w:pPr>
    </w:p>
    <w:p w14:paraId="724BCD4F" w14:textId="12794DB1" w:rsidR="00637C2F" w:rsidRPr="00183434" w:rsidRDefault="00372050" w:rsidP="00183434">
      <w:pPr>
        <w:jc w:val="both"/>
        <w:rPr>
          <w:rFonts w:cs="Arial"/>
          <w:sz w:val="23"/>
          <w:szCs w:val="23"/>
          <w:u w:val="single"/>
        </w:rPr>
      </w:pPr>
      <w:r w:rsidRPr="00183434">
        <w:rPr>
          <w:rFonts w:cs="Arial"/>
          <w:sz w:val="23"/>
          <w:szCs w:val="23"/>
          <w:highlight w:val="cyan"/>
          <w:u w:val="single"/>
        </w:rPr>
        <w:br w:type="page"/>
      </w:r>
      <w:r w:rsidR="00135056" w:rsidRPr="00183434">
        <w:rPr>
          <w:rFonts w:cs="Arial"/>
          <w:sz w:val="23"/>
          <w:szCs w:val="23"/>
          <w:u w:val="single"/>
        </w:rPr>
        <w:lastRenderedPageBreak/>
        <w:t>Reconciliation of Fair Value Measurements (using significant unobservable inputs) Categorised wit</w:t>
      </w:r>
      <w:r w:rsidR="00961693" w:rsidRPr="00183434">
        <w:rPr>
          <w:rFonts w:cs="Arial"/>
          <w:sz w:val="23"/>
          <w:szCs w:val="23"/>
          <w:u w:val="single"/>
        </w:rPr>
        <w:t>h</w:t>
      </w:r>
      <w:r w:rsidR="00135056" w:rsidRPr="00183434">
        <w:rPr>
          <w:rFonts w:cs="Arial"/>
          <w:sz w:val="23"/>
          <w:szCs w:val="23"/>
          <w:u w:val="single"/>
        </w:rPr>
        <w:t>in Level 3 of the Fair Value Hierarchy</w:t>
      </w:r>
    </w:p>
    <w:p w14:paraId="48758511" w14:textId="77777777" w:rsidR="00AD5EAA" w:rsidRPr="00183434" w:rsidRDefault="00AD5EAA" w:rsidP="00183434">
      <w:pPr>
        <w:ind w:left="720"/>
        <w:jc w:val="both"/>
        <w:rPr>
          <w:rFonts w:cs="Arial"/>
          <w:sz w:val="23"/>
          <w:szCs w:val="23"/>
          <w:u w:val="single"/>
        </w:rPr>
      </w:pPr>
    </w:p>
    <w:p w14:paraId="61103B38" w14:textId="08D78832" w:rsidR="00961693" w:rsidRPr="00183434" w:rsidRDefault="00675130" w:rsidP="00183434">
      <w:pPr>
        <w:ind w:left="720"/>
        <w:jc w:val="both"/>
        <w:rPr>
          <w:rFonts w:cs="Arial"/>
          <w:sz w:val="23"/>
          <w:szCs w:val="23"/>
          <w:u w:val="single"/>
        </w:rPr>
      </w:pPr>
      <w:r w:rsidRPr="00183434">
        <w:rPr>
          <w:rFonts w:cs="Arial"/>
          <w:sz w:val="23"/>
          <w:szCs w:val="23"/>
        </w:rPr>
        <w:object w:dxaOrig="9291" w:dyaOrig="2741" w14:anchorId="6BFE6363">
          <v:shape id="_x0000_i1062" type="#_x0000_t75" style="width:438.35pt;height:137.1pt" o:ole="">
            <v:imagedata r:id="rId89" o:title=""/>
          </v:shape>
          <o:OLEObject Type="Link" ProgID="Excel.Sheet.12" ShapeID="_x0000_i1062" DrawAspect="Content" r:id="rId90" UpdateMode="Always">
            <o:LinkType>EnhancedMetaFile</o:LinkType>
            <o:LockedField>false</o:LockedField>
            <o:FieldCodes>\* MERGEFORMAT</o:FieldCodes>
          </o:OLEObject>
        </w:object>
      </w:r>
    </w:p>
    <w:p w14:paraId="46BCC65C" w14:textId="16C96C86" w:rsidR="00135056" w:rsidRPr="00183434" w:rsidRDefault="00135056" w:rsidP="00183434">
      <w:pPr>
        <w:ind w:left="567"/>
        <w:jc w:val="both"/>
        <w:rPr>
          <w:rFonts w:cs="Arial"/>
          <w:sz w:val="23"/>
          <w:szCs w:val="23"/>
          <w:highlight w:val="cyan"/>
        </w:rPr>
      </w:pPr>
    </w:p>
    <w:p w14:paraId="53128A4B" w14:textId="77777777" w:rsidR="00470DB8" w:rsidRPr="00183434" w:rsidRDefault="00470DB8" w:rsidP="00183434">
      <w:pPr>
        <w:ind w:left="720"/>
        <w:jc w:val="both"/>
        <w:rPr>
          <w:rFonts w:cs="Arial"/>
          <w:sz w:val="23"/>
          <w:szCs w:val="23"/>
          <w:u w:val="single"/>
        </w:rPr>
      </w:pPr>
    </w:p>
    <w:p w14:paraId="0950350B" w14:textId="77777777" w:rsidR="00135056" w:rsidRPr="00183434" w:rsidRDefault="00135056" w:rsidP="00183434">
      <w:pPr>
        <w:ind w:left="720"/>
        <w:jc w:val="both"/>
        <w:rPr>
          <w:rFonts w:cs="Arial"/>
          <w:sz w:val="23"/>
          <w:szCs w:val="23"/>
          <w:u w:val="single"/>
        </w:rPr>
      </w:pPr>
      <w:r w:rsidRPr="00183434">
        <w:rPr>
          <w:rFonts w:cs="Arial"/>
          <w:sz w:val="23"/>
          <w:szCs w:val="23"/>
          <w:u w:val="single"/>
        </w:rPr>
        <w:t>Quantitative Information about Fair Value</w:t>
      </w:r>
      <w:r w:rsidR="00AC0158" w:rsidRPr="00183434">
        <w:rPr>
          <w:rFonts w:cs="Arial"/>
          <w:sz w:val="23"/>
          <w:szCs w:val="23"/>
          <w:u w:val="single"/>
        </w:rPr>
        <w:t xml:space="preserve"> Measurement of Surplus Assets</w:t>
      </w:r>
      <w:r w:rsidRPr="00183434">
        <w:rPr>
          <w:rFonts w:cs="Arial"/>
          <w:sz w:val="23"/>
          <w:szCs w:val="23"/>
          <w:u w:val="single"/>
        </w:rPr>
        <w:t xml:space="preserve"> using Significant Unobservable Inputs – Level 3 </w:t>
      </w:r>
    </w:p>
    <w:p w14:paraId="650F99A5" w14:textId="77777777" w:rsidR="00135056" w:rsidRPr="00183434" w:rsidRDefault="00135056" w:rsidP="00183434">
      <w:pPr>
        <w:ind w:left="720"/>
        <w:jc w:val="both"/>
        <w:rPr>
          <w:rFonts w:cs="Arial"/>
          <w:sz w:val="23"/>
          <w:szCs w:val="23"/>
        </w:rPr>
      </w:pPr>
    </w:p>
    <w:p w14:paraId="2286470E" w14:textId="15B5763F" w:rsidR="0099432A" w:rsidRPr="00183434" w:rsidRDefault="00675130" w:rsidP="00183434">
      <w:pPr>
        <w:ind w:left="720"/>
        <w:jc w:val="both"/>
        <w:rPr>
          <w:rFonts w:cs="Arial"/>
          <w:sz w:val="23"/>
          <w:szCs w:val="23"/>
        </w:rPr>
      </w:pPr>
      <w:r w:rsidRPr="00183434">
        <w:rPr>
          <w:rFonts w:cs="Arial"/>
          <w:sz w:val="23"/>
          <w:szCs w:val="23"/>
        </w:rPr>
        <w:object w:dxaOrig="10481" w:dyaOrig="1541" w14:anchorId="0C0086BC">
          <v:shape id="_x0000_i1063" type="#_x0000_t75" style="width:439.5pt;height:65.65pt" o:ole="">
            <v:imagedata r:id="rId91" o:title=""/>
          </v:shape>
          <o:OLEObject Type="Link" ProgID="Excel.Sheet.12" ShapeID="_x0000_i1063" DrawAspect="Content" r:id="rId92" UpdateMode="Always">
            <o:LinkType>EnhancedMetaFile</o:LinkType>
            <o:LockedField>false</o:LockedField>
            <o:FieldCodes>\* MERGEFORMAT</o:FieldCodes>
          </o:OLEObject>
        </w:object>
      </w:r>
    </w:p>
    <w:p w14:paraId="14609E15" w14:textId="0D0B344A" w:rsidR="00470DB8" w:rsidRPr="00183434" w:rsidRDefault="00470DB8" w:rsidP="00183434">
      <w:pPr>
        <w:ind w:left="-567"/>
        <w:jc w:val="both"/>
        <w:rPr>
          <w:rFonts w:cs="Arial"/>
          <w:sz w:val="23"/>
          <w:szCs w:val="23"/>
          <w:highlight w:val="cyan"/>
        </w:rPr>
      </w:pPr>
    </w:p>
    <w:p w14:paraId="599D55BB" w14:textId="77777777" w:rsidR="00470DB8" w:rsidRPr="00183434" w:rsidRDefault="00470DB8" w:rsidP="00183434">
      <w:pPr>
        <w:jc w:val="both"/>
        <w:rPr>
          <w:rFonts w:cs="Arial"/>
          <w:sz w:val="23"/>
          <w:szCs w:val="23"/>
          <w:highlight w:val="cyan"/>
        </w:rPr>
      </w:pPr>
    </w:p>
    <w:p w14:paraId="03EED96E" w14:textId="77777777" w:rsidR="00386757" w:rsidRPr="00183434" w:rsidRDefault="006D4BB0" w:rsidP="00183434">
      <w:pPr>
        <w:jc w:val="both"/>
        <w:rPr>
          <w:rFonts w:cs="Arial"/>
          <w:b/>
          <w:sz w:val="23"/>
          <w:szCs w:val="23"/>
          <w:u w:val="single"/>
        </w:rPr>
      </w:pPr>
      <w:r w:rsidRPr="00183434">
        <w:rPr>
          <w:rFonts w:cs="Arial"/>
          <w:b/>
          <w:sz w:val="23"/>
          <w:szCs w:val="23"/>
        </w:rPr>
        <w:t>2</w:t>
      </w:r>
      <w:r w:rsidR="001B2752" w:rsidRPr="00183434">
        <w:rPr>
          <w:rFonts w:cs="Arial"/>
          <w:b/>
          <w:sz w:val="23"/>
          <w:szCs w:val="23"/>
        </w:rPr>
        <w:t>2</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HERITAGE ASSETS</w:t>
      </w:r>
    </w:p>
    <w:p w14:paraId="7D17F30D" w14:textId="77777777" w:rsidR="00386757" w:rsidRPr="00183434" w:rsidRDefault="00386757" w:rsidP="00183434">
      <w:pPr>
        <w:jc w:val="both"/>
        <w:rPr>
          <w:rFonts w:cs="Arial"/>
          <w:b/>
          <w:sz w:val="23"/>
          <w:szCs w:val="23"/>
          <w:u w:val="single"/>
        </w:rPr>
      </w:pPr>
    </w:p>
    <w:p w14:paraId="1AD42C5E" w14:textId="77777777" w:rsidR="00386757" w:rsidRPr="00183434" w:rsidRDefault="00386757" w:rsidP="00183434">
      <w:pPr>
        <w:ind w:left="720"/>
        <w:jc w:val="both"/>
        <w:rPr>
          <w:rFonts w:cs="Arial"/>
          <w:sz w:val="23"/>
          <w:szCs w:val="23"/>
        </w:rPr>
      </w:pPr>
      <w:r w:rsidRPr="00183434">
        <w:rPr>
          <w:rFonts w:cs="Arial"/>
          <w:sz w:val="23"/>
          <w:szCs w:val="23"/>
        </w:rPr>
        <w:t>The Heritage Assets owned by the Council are largely peripheral to its main objectives</w:t>
      </w:r>
      <w:r w:rsidR="002169F9" w:rsidRPr="00183434">
        <w:rPr>
          <w:rFonts w:cs="Arial"/>
          <w:sz w:val="23"/>
          <w:szCs w:val="23"/>
        </w:rPr>
        <w:t xml:space="preserve"> </w:t>
      </w:r>
      <w:r w:rsidRPr="00183434">
        <w:rPr>
          <w:rFonts w:cs="Arial"/>
          <w:sz w:val="23"/>
          <w:szCs w:val="23"/>
        </w:rPr>
        <w:t>and are held entirely with the objective of preserving them for future generations because of their cultural, environmental or historical association with the borough.</w:t>
      </w:r>
    </w:p>
    <w:p w14:paraId="58B6C253" w14:textId="77777777" w:rsidR="00E556BF" w:rsidRPr="00183434" w:rsidRDefault="00E556BF" w:rsidP="00183434">
      <w:pPr>
        <w:ind w:left="720"/>
        <w:jc w:val="both"/>
        <w:rPr>
          <w:rFonts w:cs="Arial"/>
          <w:sz w:val="23"/>
          <w:szCs w:val="23"/>
        </w:rPr>
      </w:pPr>
    </w:p>
    <w:p w14:paraId="7649E27C" w14:textId="77777777" w:rsidR="00386757" w:rsidRPr="00183434" w:rsidRDefault="00386757" w:rsidP="00183434">
      <w:pPr>
        <w:ind w:firstLine="720"/>
        <w:jc w:val="both"/>
        <w:rPr>
          <w:rFonts w:cs="Arial"/>
          <w:sz w:val="23"/>
          <w:szCs w:val="23"/>
        </w:rPr>
      </w:pPr>
      <w:r w:rsidRPr="00183434">
        <w:rPr>
          <w:rFonts w:cs="Arial"/>
          <w:sz w:val="23"/>
          <w:szCs w:val="23"/>
        </w:rPr>
        <w:t>Reconciliation of the carrying value of Herita</w:t>
      </w:r>
      <w:r w:rsidR="00EA243A" w:rsidRPr="00183434">
        <w:rPr>
          <w:rFonts w:cs="Arial"/>
          <w:sz w:val="23"/>
          <w:szCs w:val="23"/>
        </w:rPr>
        <w:t>ge Assets held by the Authority:</w:t>
      </w:r>
    </w:p>
    <w:p w14:paraId="027B5C2A" w14:textId="787A2011" w:rsidR="006C2AB2" w:rsidRPr="00183434" w:rsidRDefault="000B7D57" w:rsidP="00183434">
      <w:pPr>
        <w:ind w:firstLine="720"/>
        <w:jc w:val="both"/>
        <w:rPr>
          <w:rFonts w:cs="Arial"/>
          <w:sz w:val="23"/>
          <w:szCs w:val="23"/>
        </w:rPr>
      </w:pPr>
      <w:r w:rsidRPr="00183434">
        <w:rPr>
          <w:rFonts w:cs="Arial"/>
          <w:sz w:val="23"/>
          <w:szCs w:val="23"/>
        </w:rPr>
        <w:object w:dxaOrig="10908" w:dyaOrig="5191" w14:anchorId="2E42E9E1">
          <v:shape id="_x0000_i1064" type="#_x0000_t75" style="width:444.65pt;height:211.95pt" o:ole="">
            <v:imagedata r:id="rId93" o:title=""/>
          </v:shape>
          <o:OLEObject Type="Link" ProgID="Excel.Sheet.12" ShapeID="_x0000_i1064" DrawAspect="Content" r:id="rId94" UpdateMode="Always">
            <o:LinkType>EnhancedMetaFile</o:LinkType>
            <o:LockedField>false</o:LockedField>
            <o:FieldCodes>\* MERGEFORMAT</o:FieldCodes>
          </o:OLEObject>
        </w:object>
      </w:r>
    </w:p>
    <w:p w14:paraId="0B82A450" w14:textId="77777777" w:rsidR="009C3CA9" w:rsidRPr="00183434" w:rsidRDefault="009C3CA9" w:rsidP="00183434">
      <w:pPr>
        <w:ind w:firstLine="720"/>
        <w:jc w:val="both"/>
        <w:rPr>
          <w:rFonts w:cs="Arial"/>
          <w:sz w:val="23"/>
          <w:szCs w:val="23"/>
          <w:highlight w:val="cyan"/>
        </w:rPr>
      </w:pPr>
    </w:p>
    <w:p w14:paraId="2DE64EE1" w14:textId="6108D63B" w:rsidR="00E556BF" w:rsidRPr="00183434" w:rsidRDefault="00E556BF" w:rsidP="00183434">
      <w:pPr>
        <w:ind w:firstLine="720"/>
        <w:jc w:val="both"/>
        <w:rPr>
          <w:rFonts w:cs="Arial"/>
          <w:sz w:val="23"/>
          <w:szCs w:val="23"/>
          <w:highlight w:val="cyan"/>
        </w:rPr>
      </w:pPr>
    </w:p>
    <w:p w14:paraId="776CE1F4" w14:textId="1559362D" w:rsidR="00905662" w:rsidRPr="00183434" w:rsidRDefault="00905662" w:rsidP="00183434">
      <w:pPr>
        <w:ind w:left="-567"/>
        <w:jc w:val="both"/>
        <w:rPr>
          <w:rFonts w:cs="Arial"/>
          <w:sz w:val="23"/>
          <w:szCs w:val="23"/>
          <w:highlight w:val="cyan"/>
        </w:rPr>
      </w:pPr>
    </w:p>
    <w:p w14:paraId="27255424" w14:textId="77777777" w:rsidR="00637C2F" w:rsidRPr="00183434" w:rsidRDefault="00637C2F" w:rsidP="00183434">
      <w:pPr>
        <w:ind w:left="-567"/>
        <w:jc w:val="both"/>
        <w:rPr>
          <w:rFonts w:cs="Arial"/>
          <w:sz w:val="23"/>
          <w:szCs w:val="23"/>
          <w:highlight w:val="cyan"/>
        </w:rPr>
      </w:pPr>
    </w:p>
    <w:p w14:paraId="5E199E5A" w14:textId="77777777" w:rsidR="00637C2F" w:rsidRPr="00183434" w:rsidRDefault="00637C2F" w:rsidP="00183434">
      <w:pPr>
        <w:ind w:left="-567"/>
        <w:jc w:val="both"/>
        <w:rPr>
          <w:rFonts w:cs="Arial"/>
          <w:sz w:val="23"/>
          <w:szCs w:val="23"/>
          <w:highlight w:val="cyan"/>
        </w:rPr>
      </w:pPr>
    </w:p>
    <w:p w14:paraId="17DCC228" w14:textId="04B71C40" w:rsidR="00386757" w:rsidRPr="00183434" w:rsidRDefault="00191059" w:rsidP="00257E9C">
      <w:pPr>
        <w:ind w:firstLine="720"/>
        <w:jc w:val="both"/>
        <w:rPr>
          <w:rFonts w:cs="Arial"/>
          <w:sz w:val="23"/>
          <w:szCs w:val="23"/>
          <w:u w:val="single"/>
        </w:rPr>
      </w:pPr>
      <w:r w:rsidRPr="00183434">
        <w:rPr>
          <w:rFonts w:cs="Arial"/>
          <w:sz w:val="23"/>
          <w:szCs w:val="23"/>
          <w:highlight w:val="cyan"/>
          <w:u w:val="single"/>
        </w:rPr>
        <w:br w:type="page"/>
      </w:r>
      <w:r w:rsidR="00386757" w:rsidRPr="00183434">
        <w:rPr>
          <w:rFonts w:cs="Arial"/>
          <w:sz w:val="23"/>
          <w:szCs w:val="23"/>
          <w:u w:val="single"/>
        </w:rPr>
        <w:lastRenderedPageBreak/>
        <w:t>Assets not included in the Balance Sheet</w:t>
      </w:r>
    </w:p>
    <w:p w14:paraId="0B113BBF" w14:textId="77777777" w:rsidR="00386757" w:rsidRPr="00183434" w:rsidRDefault="00386757" w:rsidP="00183434">
      <w:pPr>
        <w:ind w:firstLine="720"/>
        <w:jc w:val="both"/>
        <w:rPr>
          <w:rFonts w:cs="Arial"/>
          <w:sz w:val="23"/>
          <w:szCs w:val="23"/>
          <w:u w:val="single"/>
        </w:rPr>
      </w:pPr>
    </w:p>
    <w:p w14:paraId="2F2DBF3E" w14:textId="77777777" w:rsidR="00386757" w:rsidRPr="00183434" w:rsidRDefault="00386757" w:rsidP="00183434">
      <w:pPr>
        <w:ind w:left="720"/>
        <w:jc w:val="both"/>
        <w:rPr>
          <w:rFonts w:cs="Arial"/>
          <w:sz w:val="23"/>
          <w:szCs w:val="23"/>
        </w:rPr>
      </w:pPr>
      <w:r w:rsidRPr="00183434">
        <w:rPr>
          <w:rFonts w:cs="Arial"/>
          <w:sz w:val="23"/>
          <w:szCs w:val="23"/>
          <w:u w:val="single"/>
        </w:rPr>
        <w:t>War Memorials and Other Monuments</w:t>
      </w:r>
      <w:r w:rsidRPr="00183434">
        <w:rPr>
          <w:rFonts w:cs="Arial"/>
          <w:sz w:val="23"/>
          <w:szCs w:val="23"/>
        </w:rPr>
        <w:t xml:space="preserve"> – The Council has 17 war memorials together with various other monuments, including the Peace Fountain in Eastwood Park and the ‘Old Town Pump’ in the centre of Chesterfield </w:t>
      </w:r>
      <w:proofErr w:type="gramStart"/>
      <w:r w:rsidRPr="00183434">
        <w:rPr>
          <w:rFonts w:cs="Arial"/>
          <w:sz w:val="23"/>
          <w:szCs w:val="23"/>
        </w:rPr>
        <w:t>market place</w:t>
      </w:r>
      <w:proofErr w:type="gramEnd"/>
      <w:r w:rsidRPr="00183434">
        <w:rPr>
          <w:rFonts w:cs="Arial"/>
          <w:sz w:val="23"/>
          <w:szCs w:val="23"/>
        </w:rPr>
        <w:t>. Only 4 of the war memorials and the Peace Fountain are include</w:t>
      </w:r>
      <w:r w:rsidR="00693030" w:rsidRPr="00183434">
        <w:rPr>
          <w:rFonts w:cs="Arial"/>
          <w:sz w:val="23"/>
          <w:szCs w:val="23"/>
        </w:rPr>
        <w:t>d on the Balance Sheet</w:t>
      </w:r>
      <w:r w:rsidRPr="00183434">
        <w:rPr>
          <w:rFonts w:cs="Arial"/>
          <w:sz w:val="23"/>
          <w:szCs w:val="23"/>
        </w:rPr>
        <w:t xml:space="preserve">. Reliable information on cost is not available. No further acquisitions or disposals of assets in this class of heritage assets is anticipated. These assets are not </w:t>
      </w:r>
      <w:proofErr w:type="gramStart"/>
      <w:r w:rsidRPr="00183434">
        <w:rPr>
          <w:rFonts w:cs="Arial"/>
          <w:sz w:val="23"/>
          <w:szCs w:val="23"/>
        </w:rPr>
        <w:t>insured</w:t>
      </w:r>
      <w:proofErr w:type="gramEnd"/>
      <w:r w:rsidRPr="00183434">
        <w:rPr>
          <w:rFonts w:cs="Arial"/>
          <w:sz w:val="23"/>
          <w:szCs w:val="23"/>
        </w:rPr>
        <w:t xml:space="preserve"> and it is considered impractical to obtain valuation information due to the lack of comparable transactions and the relative insignificance of the assets in purely financial terms.</w:t>
      </w:r>
    </w:p>
    <w:p w14:paraId="090E717D" w14:textId="77777777" w:rsidR="00386757" w:rsidRPr="00183434" w:rsidRDefault="00386757" w:rsidP="00183434">
      <w:pPr>
        <w:ind w:left="720"/>
        <w:jc w:val="both"/>
        <w:rPr>
          <w:rFonts w:cs="Arial"/>
          <w:sz w:val="23"/>
          <w:szCs w:val="23"/>
        </w:rPr>
      </w:pPr>
    </w:p>
    <w:p w14:paraId="0A247239" w14:textId="77777777" w:rsidR="00386757" w:rsidRPr="00183434" w:rsidRDefault="00386757" w:rsidP="00183434">
      <w:pPr>
        <w:ind w:left="720"/>
        <w:jc w:val="both"/>
        <w:rPr>
          <w:rFonts w:cs="Arial"/>
          <w:sz w:val="23"/>
          <w:szCs w:val="23"/>
        </w:rPr>
      </w:pPr>
      <w:r w:rsidRPr="00183434">
        <w:rPr>
          <w:rFonts w:cs="Arial"/>
          <w:sz w:val="23"/>
          <w:szCs w:val="23"/>
          <w:u w:val="single"/>
        </w:rPr>
        <w:t>Percent for Art</w:t>
      </w:r>
      <w:r w:rsidRPr="00183434">
        <w:rPr>
          <w:rFonts w:cs="Arial"/>
          <w:sz w:val="23"/>
          <w:szCs w:val="23"/>
        </w:rPr>
        <w:t xml:space="preserve"> – The Council supports </w:t>
      </w:r>
      <w:r w:rsidR="009E4BA4" w:rsidRPr="00183434">
        <w:rPr>
          <w:rFonts w:cs="Arial"/>
          <w:sz w:val="23"/>
          <w:szCs w:val="23"/>
        </w:rPr>
        <w:t xml:space="preserve">and encourages </w:t>
      </w:r>
      <w:r w:rsidRPr="00183434">
        <w:rPr>
          <w:rFonts w:cs="Arial"/>
          <w:sz w:val="23"/>
          <w:szCs w:val="23"/>
        </w:rPr>
        <w:t xml:space="preserve">the promotion of public art as good planning practice which brings cultural, environmental and economic benefit to local communities. </w:t>
      </w:r>
      <w:r w:rsidR="009E4BA4" w:rsidRPr="00183434">
        <w:rPr>
          <w:rFonts w:cs="Arial"/>
          <w:sz w:val="23"/>
          <w:szCs w:val="23"/>
        </w:rPr>
        <w:t>Previous</w:t>
      </w:r>
      <w:r w:rsidRPr="00183434">
        <w:rPr>
          <w:rFonts w:cs="Arial"/>
          <w:sz w:val="23"/>
          <w:szCs w:val="23"/>
        </w:rPr>
        <w:t xml:space="preserve"> planning policy require</w:t>
      </w:r>
      <w:r w:rsidR="009E4BA4" w:rsidRPr="00183434">
        <w:rPr>
          <w:rFonts w:cs="Arial"/>
          <w:sz w:val="23"/>
          <w:szCs w:val="23"/>
        </w:rPr>
        <w:t>d</w:t>
      </w:r>
      <w:r w:rsidRPr="00183434">
        <w:rPr>
          <w:rFonts w:cs="Arial"/>
          <w:sz w:val="23"/>
          <w:szCs w:val="23"/>
        </w:rPr>
        <w:t xml:space="preserve"> developers of schemes costing more than £1m to include a work of art to the value of 1% of the total project cost on their development.</w:t>
      </w:r>
      <w:r w:rsidR="009E4BA4" w:rsidRPr="00183434">
        <w:rPr>
          <w:rFonts w:cs="Arial"/>
          <w:sz w:val="23"/>
          <w:szCs w:val="23"/>
        </w:rPr>
        <w:t xml:space="preserve"> </w:t>
      </w:r>
      <w:r w:rsidRPr="00183434">
        <w:rPr>
          <w:rFonts w:cs="Arial"/>
          <w:sz w:val="23"/>
          <w:szCs w:val="23"/>
        </w:rPr>
        <w:t>The Council keeps a register of sculptures owned and maintained by it in the Forward Planning Sectio</w:t>
      </w:r>
      <w:r w:rsidR="005D38F8" w:rsidRPr="00183434">
        <w:rPr>
          <w:rFonts w:cs="Arial"/>
          <w:sz w:val="23"/>
          <w:szCs w:val="23"/>
        </w:rPr>
        <w:t>n.</w:t>
      </w:r>
      <w:r w:rsidR="00D575CB" w:rsidRPr="00183434">
        <w:rPr>
          <w:rFonts w:cs="Arial"/>
          <w:sz w:val="23"/>
          <w:szCs w:val="23"/>
        </w:rPr>
        <w:t xml:space="preserve"> </w:t>
      </w:r>
      <w:r w:rsidRPr="00183434">
        <w:rPr>
          <w:rFonts w:cs="Arial"/>
          <w:sz w:val="23"/>
          <w:szCs w:val="23"/>
        </w:rPr>
        <w:t xml:space="preserve">The Council manages a separate website </w:t>
      </w:r>
      <w:hyperlink r:id="rId95" w:history="1">
        <w:r w:rsidRPr="00183434">
          <w:rPr>
            <w:rStyle w:val="Hyperlink"/>
            <w:rFonts w:cs="Arial"/>
            <w:sz w:val="23"/>
            <w:szCs w:val="23"/>
          </w:rPr>
          <w:t>www.chesterfieldarttrail.co.uk</w:t>
        </w:r>
      </w:hyperlink>
      <w:r w:rsidRPr="00183434">
        <w:rPr>
          <w:rFonts w:cs="Arial"/>
          <w:sz w:val="23"/>
          <w:szCs w:val="23"/>
        </w:rPr>
        <w:t xml:space="preserve"> which gives details of where the existing artworks can be found.</w:t>
      </w:r>
    </w:p>
    <w:p w14:paraId="333EB5D2" w14:textId="77777777" w:rsidR="00386757" w:rsidRPr="00183434" w:rsidRDefault="00386757" w:rsidP="00183434">
      <w:pPr>
        <w:ind w:left="720"/>
        <w:jc w:val="both"/>
        <w:rPr>
          <w:rFonts w:cs="Arial"/>
          <w:sz w:val="23"/>
          <w:szCs w:val="23"/>
        </w:rPr>
      </w:pPr>
    </w:p>
    <w:p w14:paraId="07D20D36" w14:textId="77777777" w:rsidR="00386757" w:rsidRPr="00183434" w:rsidRDefault="00386757" w:rsidP="00183434">
      <w:pPr>
        <w:ind w:left="720"/>
        <w:jc w:val="both"/>
        <w:rPr>
          <w:rFonts w:cs="Arial"/>
          <w:sz w:val="23"/>
          <w:szCs w:val="23"/>
        </w:rPr>
      </w:pPr>
      <w:r w:rsidRPr="00183434">
        <w:rPr>
          <w:rFonts w:cs="Arial"/>
          <w:sz w:val="23"/>
          <w:szCs w:val="23"/>
        </w:rPr>
        <w:t xml:space="preserve">It is considered impractical to obtain reliable information on cost for most of the assets in this category as some of the artworks were paid for by third parties and for those sponsored by the Authority, the difficulty of separating costs relating to artwork from other capital costs. These assets are not </w:t>
      </w:r>
      <w:proofErr w:type="gramStart"/>
      <w:r w:rsidRPr="00183434">
        <w:rPr>
          <w:rFonts w:cs="Arial"/>
          <w:sz w:val="23"/>
          <w:szCs w:val="23"/>
        </w:rPr>
        <w:t>insured</w:t>
      </w:r>
      <w:proofErr w:type="gramEnd"/>
      <w:r w:rsidRPr="00183434">
        <w:rPr>
          <w:rFonts w:cs="Arial"/>
          <w:sz w:val="23"/>
          <w:szCs w:val="23"/>
        </w:rPr>
        <w:t xml:space="preserve"> and it is considered impractical to obtain valuation information due to the lack of comparable transactions and the diversity of the assets themselves.</w:t>
      </w:r>
    </w:p>
    <w:p w14:paraId="205194E1" w14:textId="77777777" w:rsidR="00386757" w:rsidRPr="00183434" w:rsidRDefault="00386757" w:rsidP="00183434">
      <w:pPr>
        <w:ind w:left="720"/>
        <w:jc w:val="both"/>
        <w:rPr>
          <w:rFonts w:cs="Arial"/>
          <w:sz w:val="23"/>
          <w:szCs w:val="23"/>
        </w:rPr>
      </w:pPr>
    </w:p>
    <w:p w14:paraId="74C9416B" w14:textId="77777777" w:rsidR="00386757" w:rsidRPr="00183434" w:rsidRDefault="00386757" w:rsidP="00183434">
      <w:pPr>
        <w:ind w:left="720"/>
        <w:jc w:val="both"/>
        <w:rPr>
          <w:rFonts w:cs="Arial"/>
          <w:sz w:val="23"/>
          <w:szCs w:val="23"/>
        </w:rPr>
      </w:pPr>
      <w:r w:rsidRPr="00183434">
        <w:rPr>
          <w:rFonts w:cs="Arial"/>
          <w:sz w:val="23"/>
          <w:szCs w:val="23"/>
          <w:u w:val="single"/>
        </w:rPr>
        <w:t>Museum Collection</w:t>
      </w:r>
      <w:r w:rsidRPr="00183434">
        <w:rPr>
          <w:rFonts w:cs="Arial"/>
          <w:sz w:val="23"/>
          <w:szCs w:val="23"/>
        </w:rPr>
        <w:t xml:space="preserve"> – The majority of the 30,000 objects in the museum collection are made up of objects of social and industrial history. A high proportion of the collection is made up of items of minimal commercial value. The </w:t>
      </w:r>
      <w:r w:rsidR="00961693" w:rsidRPr="00183434">
        <w:rPr>
          <w:rFonts w:cs="Arial"/>
          <w:sz w:val="23"/>
          <w:szCs w:val="23"/>
        </w:rPr>
        <w:t>collection is currentl</w:t>
      </w:r>
      <w:r w:rsidR="00291DE5" w:rsidRPr="00183434">
        <w:rPr>
          <w:rFonts w:cs="Arial"/>
          <w:sz w:val="23"/>
          <w:szCs w:val="23"/>
        </w:rPr>
        <w:t>y</w:t>
      </w:r>
      <w:r w:rsidRPr="00183434">
        <w:rPr>
          <w:rFonts w:cs="Arial"/>
          <w:sz w:val="23"/>
          <w:szCs w:val="23"/>
        </w:rPr>
        <w:t xml:space="preserve"> held in storage</w:t>
      </w:r>
      <w:r w:rsidR="00291DE5" w:rsidRPr="00183434">
        <w:rPr>
          <w:rFonts w:cs="Arial"/>
          <w:sz w:val="23"/>
          <w:szCs w:val="23"/>
        </w:rPr>
        <w:t xml:space="preserve"> whilst the Museum is undergoing refurbishment</w:t>
      </w:r>
      <w:r w:rsidRPr="00183434">
        <w:rPr>
          <w:rFonts w:cs="Arial"/>
          <w:sz w:val="23"/>
          <w:szCs w:val="23"/>
        </w:rPr>
        <w:t>. The collection can be divided into five broad categories:</w:t>
      </w:r>
    </w:p>
    <w:p w14:paraId="67DFA339" w14:textId="77777777" w:rsidR="00386757" w:rsidRPr="00183434" w:rsidRDefault="00386757" w:rsidP="00183434">
      <w:pPr>
        <w:ind w:left="720"/>
        <w:jc w:val="both"/>
        <w:rPr>
          <w:rFonts w:cs="Arial"/>
          <w:sz w:val="23"/>
          <w:szCs w:val="23"/>
        </w:rPr>
      </w:pPr>
    </w:p>
    <w:p w14:paraId="0985BD91" w14:textId="77777777" w:rsidR="00386757" w:rsidRPr="00183434" w:rsidRDefault="00386757" w:rsidP="00183434">
      <w:pPr>
        <w:numPr>
          <w:ilvl w:val="0"/>
          <w:numId w:val="1"/>
        </w:numPr>
        <w:tabs>
          <w:tab w:val="clear" w:pos="720"/>
          <w:tab w:val="num" w:pos="1440"/>
        </w:tabs>
        <w:ind w:left="1440"/>
        <w:jc w:val="both"/>
        <w:rPr>
          <w:rFonts w:cs="Arial"/>
          <w:sz w:val="23"/>
          <w:szCs w:val="23"/>
        </w:rPr>
      </w:pPr>
      <w:r w:rsidRPr="00183434">
        <w:rPr>
          <w:rFonts w:cs="Arial"/>
          <w:sz w:val="23"/>
          <w:szCs w:val="23"/>
        </w:rPr>
        <w:t>Social and historical objects</w:t>
      </w:r>
    </w:p>
    <w:p w14:paraId="6AC620D1" w14:textId="77777777" w:rsidR="00386757" w:rsidRPr="00183434" w:rsidRDefault="00386757" w:rsidP="00183434">
      <w:pPr>
        <w:numPr>
          <w:ilvl w:val="0"/>
          <w:numId w:val="1"/>
        </w:numPr>
        <w:tabs>
          <w:tab w:val="clear" w:pos="720"/>
          <w:tab w:val="num" w:pos="1440"/>
        </w:tabs>
        <w:ind w:left="1440"/>
        <w:jc w:val="both"/>
        <w:rPr>
          <w:rFonts w:cs="Arial"/>
          <w:sz w:val="23"/>
          <w:szCs w:val="23"/>
        </w:rPr>
      </w:pPr>
      <w:r w:rsidRPr="00183434">
        <w:rPr>
          <w:rFonts w:cs="Arial"/>
          <w:sz w:val="23"/>
          <w:szCs w:val="23"/>
        </w:rPr>
        <w:t>Fine arts (paintings and drawings)</w:t>
      </w:r>
    </w:p>
    <w:p w14:paraId="4DE5D428" w14:textId="77777777" w:rsidR="00386757" w:rsidRPr="00183434" w:rsidRDefault="00386757" w:rsidP="00183434">
      <w:pPr>
        <w:numPr>
          <w:ilvl w:val="0"/>
          <w:numId w:val="1"/>
        </w:numPr>
        <w:tabs>
          <w:tab w:val="clear" w:pos="720"/>
          <w:tab w:val="num" w:pos="1440"/>
        </w:tabs>
        <w:ind w:left="1440"/>
        <w:jc w:val="both"/>
        <w:rPr>
          <w:rFonts w:cs="Arial"/>
          <w:sz w:val="23"/>
          <w:szCs w:val="23"/>
        </w:rPr>
      </w:pPr>
      <w:r w:rsidRPr="00183434">
        <w:rPr>
          <w:rFonts w:cs="Arial"/>
          <w:sz w:val="23"/>
          <w:szCs w:val="23"/>
        </w:rPr>
        <w:t>Decorative art (pottery and glass)</w:t>
      </w:r>
    </w:p>
    <w:p w14:paraId="0508E178" w14:textId="77777777" w:rsidR="00386757" w:rsidRPr="00183434" w:rsidRDefault="00386757" w:rsidP="00183434">
      <w:pPr>
        <w:numPr>
          <w:ilvl w:val="0"/>
          <w:numId w:val="1"/>
        </w:numPr>
        <w:tabs>
          <w:tab w:val="clear" w:pos="720"/>
          <w:tab w:val="num" w:pos="1440"/>
        </w:tabs>
        <w:ind w:left="1440"/>
        <w:jc w:val="both"/>
        <w:rPr>
          <w:rFonts w:cs="Arial"/>
          <w:sz w:val="23"/>
          <w:szCs w:val="23"/>
        </w:rPr>
      </w:pPr>
      <w:r w:rsidRPr="00183434">
        <w:rPr>
          <w:rFonts w:cs="Arial"/>
          <w:sz w:val="23"/>
          <w:szCs w:val="23"/>
        </w:rPr>
        <w:t>Archaeological finds</w:t>
      </w:r>
    </w:p>
    <w:p w14:paraId="40BE7164" w14:textId="77777777" w:rsidR="00386757" w:rsidRPr="00183434" w:rsidRDefault="00386757" w:rsidP="00183434">
      <w:pPr>
        <w:numPr>
          <w:ilvl w:val="0"/>
          <w:numId w:val="1"/>
        </w:numPr>
        <w:tabs>
          <w:tab w:val="clear" w:pos="720"/>
          <w:tab w:val="num" w:pos="1440"/>
        </w:tabs>
        <w:ind w:left="1440"/>
        <w:jc w:val="both"/>
        <w:rPr>
          <w:rFonts w:cs="Arial"/>
          <w:sz w:val="23"/>
          <w:szCs w:val="23"/>
        </w:rPr>
      </w:pPr>
      <w:r w:rsidRPr="00183434">
        <w:rPr>
          <w:rFonts w:cs="Arial"/>
          <w:sz w:val="23"/>
          <w:szCs w:val="23"/>
        </w:rPr>
        <w:t>Material available for loans to schools</w:t>
      </w:r>
    </w:p>
    <w:p w14:paraId="6510D707" w14:textId="77777777" w:rsidR="00386757" w:rsidRPr="00183434" w:rsidRDefault="00386757" w:rsidP="00183434">
      <w:pPr>
        <w:jc w:val="both"/>
        <w:rPr>
          <w:rFonts w:cs="Arial"/>
          <w:sz w:val="23"/>
          <w:szCs w:val="23"/>
        </w:rPr>
      </w:pPr>
    </w:p>
    <w:p w14:paraId="52160F3E" w14:textId="77777777" w:rsidR="00386757" w:rsidRPr="00183434" w:rsidRDefault="00386757" w:rsidP="00183434">
      <w:pPr>
        <w:ind w:left="720"/>
        <w:jc w:val="both"/>
        <w:rPr>
          <w:rFonts w:cs="Arial"/>
          <w:sz w:val="23"/>
          <w:szCs w:val="23"/>
        </w:rPr>
      </w:pPr>
      <w:r w:rsidRPr="00183434">
        <w:rPr>
          <w:rFonts w:cs="Arial"/>
          <w:sz w:val="23"/>
          <w:szCs w:val="23"/>
        </w:rPr>
        <w:t>Except for recent acquisitions, reliable information on cost is not available. In general, conventional valuation approaches would not be suitable owing to the sheer number and diversity of items, coupled with the unique and irreplaceable nature of many of the objects concerned. Th</w:t>
      </w:r>
      <w:r w:rsidR="00665195" w:rsidRPr="00183434">
        <w:rPr>
          <w:rFonts w:cs="Arial"/>
          <w:sz w:val="23"/>
          <w:szCs w:val="23"/>
        </w:rPr>
        <w:t>e collection is insured for £3</w:t>
      </w:r>
      <w:r w:rsidR="00AE0105" w:rsidRPr="00183434">
        <w:rPr>
          <w:rFonts w:cs="Arial"/>
          <w:sz w:val="23"/>
          <w:szCs w:val="23"/>
        </w:rPr>
        <w:t>.</w:t>
      </w:r>
      <w:proofErr w:type="gramStart"/>
      <w:r w:rsidR="00AE0105" w:rsidRPr="00183434">
        <w:rPr>
          <w:rFonts w:cs="Arial"/>
          <w:sz w:val="23"/>
          <w:szCs w:val="23"/>
        </w:rPr>
        <w:t>3</w:t>
      </w:r>
      <w:r w:rsidRPr="00183434">
        <w:rPr>
          <w:rFonts w:cs="Arial"/>
          <w:sz w:val="23"/>
          <w:szCs w:val="23"/>
        </w:rPr>
        <w:t>m</w:t>
      </w:r>
      <w:proofErr w:type="gramEnd"/>
      <w:r w:rsidRPr="00183434">
        <w:rPr>
          <w:rFonts w:cs="Arial"/>
          <w:sz w:val="23"/>
          <w:szCs w:val="23"/>
        </w:rPr>
        <w:t xml:space="preserve"> but this is regarded as a nominal and </w:t>
      </w:r>
      <w:proofErr w:type="gramStart"/>
      <w:r w:rsidRPr="00183434">
        <w:rPr>
          <w:rFonts w:cs="Arial"/>
          <w:sz w:val="23"/>
          <w:szCs w:val="23"/>
        </w:rPr>
        <w:t>fairly arbitrary</w:t>
      </w:r>
      <w:proofErr w:type="gramEnd"/>
      <w:r w:rsidRPr="00183434">
        <w:rPr>
          <w:rFonts w:cs="Arial"/>
          <w:sz w:val="23"/>
          <w:szCs w:val="23"/>
        </w:rPr>
        <w:t xml:space="preserve"> figure and therefore only those existing assets with a readily ascertainable market value have been recognised on the balance sheet.</w:t>
      </w:r>
    </w:p>
    <w:p w14:paraId="3353A659" w14:textId="77777777" w:rsidR="00386757" w:rsidRPr="00183434" w:rsidRDefault="00386757" w:rsidP="00183434">
      <w:pPr>
        <w:jc w:val="both"/>
        <w:rPr>
          <w:rFonts w:cs="Arial"/>
          <w:sz w:val="23"/>
          <w:szCs w:val="23"/>
        </w:rPr>
      </w:pPr>
    </w:p>
    <w:p w14:paraId="2B218298" w14:textId="77777777" w:rsidR="00693030" w:rsidRPr="00183434" w:rsidRDefault="00693030" w:rsidP="00183434">
      <w:pPr>
        <w:jc w:val="both"/>
        <w:rPr>
          <w:rFonts w:cs="Arial"/>
          <w:sz w:val="23"/>
          <w:szCs w:val="23"/>
        </w:rPr>
      </w:pPr>
    </w:p>
    <w:p w14:paraId="3F9BC807" w14:textId="77777777" w:rsidR="00386757" w:rsidRPr="00183434" w:rsidRDefault="00A9385D" w:rsidP="00183434">
      <w:pPr>
        <w:ind w:firstLine="720"/>
        <w:jc w:val="both"/>
        <w:rPr>
          <w:rFonts w:cs="Arial"/>
          <w:sz w:val="23"/>
          <w:szCs w:val="23"/>
          <w:u w:val="single"/>
        </w:rPr>
      </w:pPr>
      <w:r w:rsidRPr="00183434">
        <w:rPr>
          <w:rFonts w:cs="Arial"/>
          <w:sz w:val="23"/>
          <w:szCs w:val="23"/>
          <w:u w:val="single"/>
        </w:rPr>
        <w:t>A</w:t>
      </w:r>
      <w:r w:rsidR="00386757" w:rsidRPr="00183434">
        <w:rPr>
          <w:rFonts w:cs="Arial"/>
          <w:sz w:val="23"/>
          <w:szCs w:val="23"/>
          <w:u w:val="single"/>
        </w:rPr>
        <w:t>ssets included in the Balance Sheet</w:t>
      </w:r>
    </w:p>
    <w:p w14:paraId="565580F8" w14:textId="77777777" w:rsidR="00386757" w:rsidRPr="00183434" w:rsidRDefault="00386757" w:rsidP="00183434">
      <w:pPr>
        <w:ind w:left="720"/>
        <w:jc w:val="both"/>
        <w:rPr>
          <w:rFonts w:cs="Arial"/>
          <w:sz w:val="23"/>
          <w:szCs w:val="23"/>
          <w:u w:val="single"/>
        </w:rPr>
      </w:pPr>
    </w:p>
    <w:p w14:paraId="29418E6D" w14:textId="77777777" w:rsidR="00386757" w:rsidRPr="00183434" w:rsidRDefault="00386757" w:rsidP="00183434">
      <w:pPr>
        <w:ind w:left="720"/>
        <w:jc w:val="both"/>
        <w:rPr>
          <w:rFonts w:cs="Arial"/>
          <w:sz w:val="23"/>
          <w:szCs w:val="23"/>
          <w:u w:val="single"/>
        </w:rPr>
      </w:pPr>
      <w:r w:rsidRPr="00183434">
        <w:rPr>
          <w:rFonts w:cs="Arial"/>
          <w:sz w:val="23"/>
          <w:szCs w:val="23"/>
          <w:u w:val="single"/>
        </w:rPr>
        <w:t xml:space="preserve">Historic Buildings </w:t>
      </w:r>
    </w:p>
    <w:p w14:paraId="5301A764" w14:textId="77777777" w:rsidR="00D575CB" w:rsidRPr="00183434" w:rsidRDefault="00D575CB" w:rsidP="00183434">
      <w:pPr>
        <w:ind w:left="720"/>
        <w:jc w:val="both"/>
        <w:rPr>
          <w:rFonts w:cs="Arial"/>
          <w:sz w:val="23"/>
          <w:szCs w:val="23"/>
          <w:u w:val="single"/>
        </w:rPr>
      </w:pPr>
    </w:p>
    <w:p w14:paraId="017F7F39" w14:textId="77777777" w:rsidR="00386757" w:rsidRPr="00183434" w:rsidRDefault="00386757" w:rsidP="00183434">
      <w:pPr>
        <w:ind w:left="720"/>
        <w:jc w:val="both"/>
        <w:rPr>
          <w:rFonts w:cs="Arial"/>
          <w:sz w:val="23"/>
          <w:szCs w:val="23"/>
        </w:rPr>
      </w:pPr>
      <w:r w:rsidRPr="00183434">
        <w:rPr>
          <w:rFonts w:cs="Arial"/>
          <w:sz w:val="23"/>
          <w:szCs w:val="23"/>
        </w:rPr>
        <w:t xml:space="preserve">There are three assets included in this classification. These are the Barrow Hill Railway Heritage Centre which hosts Britain’s last working roundhouse, the Revolution House which is an old stone cottage used as a museum, originally an alehouse used to plot the Revolution of 1688 and the Queens Park dovecote which </w:t>
      </w:r>
      <w:proofErr w:type="gramStart"/>
      <w:r w:rsidRPr="00183434">
        <w:rPr>
          <w:rFonts w:cs="Arial"/>
          <w:sz w:val="23"/>
          <w:szCs w:val="23"/>
        </w:rPr>
        <w:t>is located in</w:t>
      </w:r>
      <w:proofErr w:type="gramEnd"/>
      <w:r w:rsidRPr="00183434">
        <w:rPr>
          <w:rFonts w:cs="Arial"/>
          <w:sz w:val="23"/>
          <w:szCs w:val="23"/>
        </w:rPr>
        <w:t xml:space="preserve"> the Victorian </w:t>
      </w:r>
      <w:r w:rsidRPr="00183434">
        <w:rPr>
          <w:rFonts w:cs="Arial"/>
          <w:sz w:val="23"/>
          <w:szCs w:val="23"/>
        </w:rPr>
        <w:lastRenderedPageBreak/>
        <w:t xml:space="preserve">park in the centre of Chesterfield. No further acquisitions or disposals are expected in this classification of heritage assets. </w:t>
      </w:r>
      <w:proofErr w:type="gramStart"/>
      <w:r w:rsidRPr="00183434">
        <w:rPr>
          <w:rFonts w:cs="Arial"/>
          <w:sz w:val="23"/>
          <w:szCs w:val="23"/>
        </w:rPr>
        <w:t>All of</w:t>
      </w:r>
      <w:proofErr w:type="gramEnd"/>
      <w:r w:rsidRPr="00183434">
        <w:rPr>
          <w:rFonts w:cs="Arial"/>
          <w:sz w:val="23"/>
          <w:szCs w:val="23"/>
        </w:rPr>
        <w:t xml:space="preserve"> these assets can be visited by the public and further information is available on the Council’s website.</w:t>
      </w:r>
    </w:p>
    <w:p w14:paraId="134063A9" w14:textId="77777777" w:rsidR="009A2D82" w:rsidRPr="00183434" w:rsidRDefault="009A2D82" w:rsidP="00183434">
      <w:pPr>
        <w:ind w:left="720"/>
        <w:jc w:val="both"/>
        <w:rPr>
          <w:rFonts w:cs="Arial"/>
          <w:sz w:val="23"/>
          <w:szCs w:val="23"/>
        </w:rPr>
      </w:pPr>
    </w:p>
    <w:p w14:paraId="283BF57B" w14:textId="77777777" w:rsidR="009A2D82" w:rsidRPr="00183434" w:rsidRDefault="009A2D82" w:rsidP="00183434">
      <w:pPr>
        <w:ind w:left="720"/>
        <w:jc w:val="both"/>
        <w:rPr>
          <w:rFonts w:cs="Arial"/>
          <w:sz w:val="23"/>
          <w:szCs w:val="23"/>
        </w:rPr>
      </w:pPr>
      <w:r w:rsidRPr="00183434">
        <w:rPr>
          <w:rFonts w:cs="Arial"/>
          <w:sz w:val="23"/>
          <w:szCs w:val="23"/>
        </w:rPr>
        <w:t xml:space="preserve">These assets are measured at valuation using conventional valuation approaches. They were valued as </w:t>
      </w:r>
      <w:proofErr w:type="gramStart"/>
      <w:r w:rsidRPr="00183434">
        <w:rPr>
          <w:rFonts w:cs="Arial"/>
          <w:sz w:val="23"/>
          <w:szCs w:val="23"/>
        </w:rPr>
        <w:t>at</w:t>
      </w:r>
      <w:proofErr w:type="gramEnd"/>
      <w:r w:rsidRPr="00183434">
        <w:rPr>
          <w:rFonts w:cs="Arial"/>
          <w:sz w:val="23"/>
          <w:szCs w:val="23"/>
        </w:rPr>
        <w:t xml:space="preserve"> </w:t>
      </w:r>
      <w:r w:rsidR="00A01BC3" w:rsidRPr="00183434">
        <w:rPr>
          <w:rFonts w:cs="Arial"/>
          <w:sz w:val="23"/>
          <w:szCs w:val="23"/>
        </w:rPr>
        <w:t>1</w:t>
      </w:r>
      <w:r w:rsidR="00A01BC3" w:rsidRPr="00183434">
        <w:rPr>
          <w:rFonts w:cs="Arial"/>
          <w:sz w:val="23"/>
          <w:szCs w:val="23"/>
          <w:vertAlign w:val="superscript"/>
        </w:rPr>
        <w:t>st</w:t>
      </w:r>
      <w:r w:rsidR="00A01BC3" w:rsidRPr="00183434">
        <w:rPr>
          <w:rFonts w:cs="Arial"/>
          <w:sz w:val="23"/>
          <w:szCs w:val="23"/>
        </w:rPr>
        <w:t xml:space="preserve"> April 2020</w:t>
      </w:r>
      <w:r w:rsidRPr="00183434">
        <w:rPr>
          <w:rFonts w:cs="Arial"/>
          <w:sz w:val="23"/>
          <w:szCs w:val="23"/>
        </w:rPr>
        <w:t xml:space="preserve"> by </w:t>
      </w:r>
      <w:r w:rsidR="00A01BC3" w:rsidRPr="00183434">
        <w:rPr>
          <w:rFonts w:cs="Arial"/>
          <w:sz w:val="23"/>
          <w:szCs w:val="23"/>
        </w:rPr>
        <w:t>the Council’s internal valuer</w:t>
      </w:r>
      <w:r w:rsidRPr="00183434">
        <w:rPr>
          <w:rFonts w:cs="Arial"/>
          <w:sz w:val="23"/>
          <w:szCs w:val="23"/>
        </w:rPr>
        <w:t xml:space="preserve">, in accordance with the Statements of Asset Valuation Practice &amp; Guidance Notes of the Royal Institute of Chartered Surveyors.  </w:t>
      </w:r>
    </w:p>
    <w:p w14:paraId="1F453FAC" w14:textId="77777777" w:rsidR="00386757" w:rsidRPr="00183434" w:rsidRDefault="00386757" w:rsidP="00183434">
      <w:pPr>
        <w:jc w:val="both"/>
        <w:rPr>
          <w:rFonts w:cs="Arial"/>
          <w:sz w:val="23"/>
          <w:szCs w:val="23"/>
        </w:rPr>
      </w:pPr>
    </w:p>
    <w:p w14:paraId="3EA86C5C" w14:textId="77777777" w:rsidR="00386757" w:rsidRPr="00183434" w:rsidRDefault="00386757" w:rsidP="00183434">
      <w:pPr>
        <w:ind w:left="720"/>
        <w:jc w:val="both"/>
        <w:rPr>
          <w:rFonts w:cs="Arial"/>
          <w:sz w:val="23"/>
          <w:szCs w:val="23"/>
          <w:u w:val="single"/>
        </w:rPr>
      </w:pPr>
      <w:r w:rsidRPr="00183434">
        <w:rPr>
          <w:rFonts w:cs="Arial"/>
          <w:sz w:val="23"/>
          <w:szCs w:val="23"/>
          <w:u w:val="single"/>
        </w:rPr>
        <w:t>War Memorials/Monuments</w:t>
      </w:r>
    </w:p>
    <w:p w14:paraId="5E51D076" w14:textId="77777777" w:rsidR="00386757" w:rsidRPr="00183434" w:rsidRDefault="00386757" w:rsidP="00183434">
      <w:pPr>
        <w:ind w:left="720"/>
        <w:jc w:val="both"/>
        <w:rPr>
          <w:rFonts w:cs="Arial"/>
          <w:sz w:val="23"/>
          <w:szCs w:val="23"/>
          <w:u w:val="single"/>
        </w:rPr>
      </w:pPr>
    </w:p>
    <w:p w14:paraId="03B72885" w14:textId="77777777" w:rsidR="00386757" w:rsidRPr="00183434" w:rsidRDefault="00386757" w:rsidP="00183434">
      <w:pPr>
        <w:ind w:left="720"/>
        <w:jc w:val="both"/>
        <w:rPr>
          <w:rFonts w:cs="Arial"/>
          <w:sz w:val="23"/>
          <w:szCs w:val="23"/>
        </w:rPr>
      </w:pPr>
      <w:r w:rsidRPr="00183434">
        <w:rPr>
          <w:rFonts w:cs="Arial"/>
          <w:sz w:val="23"/>
          <w:szCs w:val="23"/>
        </w:rPr>
        <w:t>Only 4 of the 17 war memorials in the Borough and the Peace Fountain in Hasland Park are included in the balance sheet, the former at a notional cost of £1 each. No further acquisitions or disposals are anticipated for this classification of heritage asset. All assets are accessible to the public.</w:t>
      </w:r>
    </w:p>
    <w:p w14:paraId="249A2E24" w14:textId="77777777" w:rsidR="00386757" w:rsidRPr="00183434" w:rsidRDefault="00386757" w:rsidP="00183434">
      <w:pPr>
        <w:ind w:left="720"/>
        <w:jc w:val="both"/>
        <w:rPr>
          <w:rFonts w:cs="Arial"/>
          <w:sz w:val="23"/>
          <w:szCs w:val="23"/>
        </w:rPr>
      </w:pPr>
    </w:p>
    <w:p w14:paraId="49E8DAEB" w14:textId="77777777" w:rsidR="00386757" w:rsidRPr="00183434" w:rsidRDefault="00386757" w:rsidP="00183434">
      <w:pPr>
        <w:ind w:left="720"/>
        <w:jc w:val="both"/>
        <w:rPr>
          <w:rFonts w:cs="Arial"/>
          <w:sz w:val="23"/>
          <w:szCs w:val="23"/>
          <w:u w:val="single"/>
        </w:rPr>
      </w:pPr>
      <w:r w:rsidRPr="00183434">
        <w:rPr>
          <w:rFonts w:cs="Arial"/>
          <w:sz w:val="23"/>
          <w:szCs w:val="23"/>
          <w:u w:val="single"/>
        </w:rPr>
        <w:t>Rosewall Sculpture</w:t>
      </w:r>
    </w:p>
    <w:p w14:paraId="052339EC" w14:textId="77777777" w:rsidR="00386757" w:rsidRPr="00183434" w:rsidRDefault="00386757" w:rsidP="00183434">
      <w:pPr>
        <w:ind w:left="720"/>
        <w:jc w:val="both"/>
        <w:rPr>
          <w:rFonts w:cs="Arial"/>
          <w:sz w:val="23"/>
          <w:szCs w:val="23"/>
        </w:rPr>
      </w:pPr>
    </w:p>
    <w:p w14:paraId="3371D054" w14:textId="77777777" w:rsidR="00692646" w:rsidRPr="00183434" w:rsidRDefault="00386757" w:rsidP="00183434">
      <w:pPr>
        <w:ind w:left="720"/>
        <w:jc w:val="both"/>
        <w:rPr>
          <w:rFonts w:cs="Arial"/>
          <w:sz w:val="23"/>
          <w:szCs w:val="23"/>
        </w:rPr>
      </w:pPr>
      <w:r w:rsidRPr="00183434">
        <w:rPr>
          <w:rFonts w:cs="Arial"/>
          <w:sz w:val="23"/>
          <w:szCs w:val="23"/>
        </w:rPr>
        <w:t>This was originally commissioned from Barbara Hepworth by the Post Office to stand outside their administrative offices when they relocated to Chesterfield in the 1960’s.</w:t>
      </w:r>
      <w:r w:rsidR="009A2D82" w:rsidRPr="00183434">
        <w:rPr>
          <w:rFonts w:cs="Arial"/>
          <w:sz w:val="23"/>
          <w:szCs w:val="23"/>
        </w:rPr>
        <w:t xml:space="preserve"> It was acquired in 2008/09 and was valued immediately prior to purchase by Hazlett, Holland-Hibbert, a firm of specialist dealers in modern art at market value. Due to the cost involved, further appraisals will be infrequent. </w:t>
      </w:r>
      <w:r w:rsidRPr="00183434">
        <w:rPr>
          <w:rFonts w:cs="Arial"/>
          <w:sz w:val="23"/>
          <w:szCs w:val="23"/>
        </w:rPr>
        <w:t xml:space="preserve">It is located adjacent to the public footbridge from the town centre into Queens Park in the centre of Chesterfield. </w:t>
      </w:r>
    </w:p>
    <w:p w14:paraId="3051E5D5" w14:textId="77777777" w:rsidR="00692646" w:rsidRPr="00183434" w:rsidRDefault="00692646" w:rsidP="00183434">
      <w:pPr>
        <w:ind w:left="720"/>
        <w:jc w:val="both"/>
        <w:rPr>
          <w:rFonts w:cs="Arial"/>
          <w:sz w:val="23"/>
          <w:szCs w:val="23"/>
        </w:rPr>
      </w:pPr>
    </w:p>
    <w:p w14:paraId="50EAE283" w14:textId="77777777" w:rsidR="00386757" w:rsidRPr="00183434" w:rsidRDefault="00386757" w:rsidP="00183434">
      <w:pPr>
        <w:ind w:left="720"/>
        <w:jc w:val="both"/>
        <w:rPr>
          <w:rFonts w:cs="Arial"/>
          <w:sz w:val="23"/>
          <w:szCs w:val="23"/>
          <w:u w:val="single"/>
        </w:rPr>
      </w:pPr>
      <w:r w:rsidRPr="00183434">
        <w:rPr>
          <w:rFonts w:cs="Arial"/>
          <w:sz w:val="23"/>
          <w:szCs w:val="23"/>
          <w:u w:val="single"/>
        </w:rPr>
        <w:t>Mayoral Regalia/Civic Plate, Paintings &amp; Porcelain</w:t>
      </w:r>
    </w:p>
    <w:p w14:paraId="5E009607" w14:textId="77777777" w:rsidR="00386757" w:rsidRPr="00183434" w:rsidRDefault="00386757" w:rsidP="00183434">
      <w:pPr>
        <w:ind w:left="720"/>
        <w:jc w:val="both"/>
        <w:rPr>
          <w:rFonts w:cs="Arial"/>
          <w:sz w:val="23"/>
          <w:szCs w:val="23"/>
          <w:u w:val="single"/>
        </w:rPr>
      </w:pPr>
    </w:p>
    <w:p w14:paraId="57886D99" w14:textId="77777777" w:rsidR="009A2D82" w:rsidRPr="00183434" w:rsidRDefault="00386757" w:rsidP="00183434">
      <w:pPr>
        <w:ind w:left="720"/>
        <w:jc w:val="both"/>
        <w:rPr>
          <w:rFonts w:cs="Arial"/>
          <w:sz w:val="23"/>
          <w:szCs w:val="23"/>
        </w:rPr>
      </w:pPr>
      <w:r w:rsidRPr="00183434">
        <w:rPr>
          <w:rFonts w:cs="Arial"/>
          <w:sz w:val="23"/>
          <w:szCs w:val="23"/>
        </w:rPr>
        <w:t>These are kept in the Mayor’s Parlour in the Town Hall. The parlour is accessible to the public on several occasions each year and to school parties by special arrangement. No further acquisitions or disposals are planned for this classification of heritage asset, although items are donated on an ad-hoc basis.</w:t>
      </w:r>
      <w:r w:rsidR="009A2D82" w:rsidRPr="00183434">
        <w:rPr>
          <w:rFonts w:cs="Arial"/>
          <w:sz w:val="23"/>
          <w:szCs w:val="23"/>
        </w:rPr>
        <w:t xml:space="preserve"> They were valued in 2015 and</w:t>
      </w:r>
      <w:r w:rsidR="00EA3AD8" w:rsidRPr="00183434">
        <w:rPr>
          <w:rFonts w:cs="Arial"/>
          <w:sz w:val="23"/>
          <w:szCs w:val="23"/>
        </w:rPr>
        <w:t xml:space="preserve"> are recognised on the balance sheet at valuation.</w:t>
      </w:r>
      <w:r w:rsidR="009A2D82" w:rsidRPr="00183434">
        <w:rPr>
          <w:rFonts w:cs="Arial"/>
          <w:sz w:val="23"/>
          <w:szCs w:val="23"/>
        </w:rPr>
        <w:t xml:space="preserve"> Due to the costs involved, further appraisals will be infrequent.</w:t>
      </w:r>
    </w:p>
    <w:p w14:paraId="27E1655E" w14:textId="77777777" w:rsidR="005A0A55" w:rsidRPr="00183434" w:rsidRDefault="005A0A55" w:rsidP="00183434">
      <w:pPr>
        <w:jc w:val="both"/>
        <w:rPr>
          <w:rFonts w:cs="Arial"/>
          <w:sz w:val="23"/>
          <w:szCs w:val="23"/>
        </w:rPr>
      </w:pPr>
    </w:p>
    <w:p w14:paraId="0CFA9860" w14:textId="77777777" w:rsidR="00386757" w:rsidRPr="00183434" w:rsidRDefault="00386757" w:rsidP="00183434">
      <w:pPr>
        <w:ind w:left="720"/>
        <w:jc w:val="both"/>
        <w:rPr>
          <w:rFonts w:cs="Arial"/>
          <w:sz w:val="23"/>
          <w:szCs w:val="23"/>
          <w:u w:val="single"/>
        </w:rPr>
      </w:pPr>
      <w:r w:rsidRPr="00183434">
        <w:rPr>
          <w:rFonts w:cs="Arial"/>
          <w:sz w:val="23"/>
          <w:szCs w:val="23"/>
          <w:u w:val="single"/>
        </w:rPr>
        <w:t>Museum Collection</w:t>
      </w:r>
    </w:p>
    <w:p w14:paraId="04B44A75" w14:textId="77777777" w:rsidR="00386757" w:rsidRPr="00183434" w:rsidRDefault="00386757" w:rsidP="00183434">
      <w:pPr>
        <w:ind w:left="720"/>
        <w:jc w:val="both"/>
        <w:rPr>
          <w:rFonts w:cs="Arial"/>
          <w:sz w:val="23"/>
          <w:szCs w:val="23"/>
        </w:rPr>
      </w:pPr>
    </w:p>
    <w:p w14:paraId="13992B18" w14:textId="77777777" w:rsidR="009A2D82" w:rsidRPr="00183434" w:rsidRDefault="00291DE5" w:rsidP="00183434">
      <w:pPr>
        <w:ind w:left="720"/>
        <w:jc w:val="both"/>
        <w:rPr>
          <w:rFonts w:cs="Arial"/>
          <w:sz w:val="23"/>
          <w:szCs w:val="23"/>
        </w:rPr>
      </w:pPr>
      <w:r w:rsidRPr="00183434">
        <w:rPr>
          <w:rFonts w:cs="Arial"/>
          <w:sz w:val="23"/>
          <w:szCs w:val="23"/>
        </w:rPr>
        <w:t>The whole</w:t>
      </w:r>
      <w:r w:rsidR="00386757" w:rsidRPr="00183434">
        <w:rPr>
          <w:rFonts w:cs="Arial"/>
          <w:sz w:val="23"/>
          <w:szCs w:val="23"/>
        </w:rPr>
        <w:t xml:space="preserve"> of the collection is </w:t>
      </w:r>
      <w:r w:rsidRPr="00183434">
        <w:rPr>
          <w:rFonts w:cs="Arial"/>
          <w:sz w:val="23"/>
          <w:szCs w:val="23"/>
        </w:rPr>
        <w:t xml:space="preserve">currently in storage whilst the museum is refurbished. </w:t>
      </w:r>
      <w:r w:rsidR="00EA3AD8" w:rsidRPr="00183434">
        <w:rPr>
          <w:rFonts w:cs="Arial"/>
          <w:sz w:val="23"/>
          <w:szCs w:val="23"/>
        </w:rPr>
        <w:t>Those items with a reasonably ascertainable value are recognised on the balance sheet at valuation.</w:t>
      </w:r>
      <w:r w:rsidR="009A2D82" w:rsidRPr="00183434">
        <w:rPr>
          <w:rFonts w:cs="Arial"/>
          <w:sz w:val="23"/>
          <w:szCs w:val="23"/>
        </w:rPr>
        <w:t xml:space="preserve"> The valuations were carried out in 1991 by Phillips Midlands and in 1993 by Henry Spencer &amp; Sons. The value is based on formal valuation evidence, restated at April 2010 prices, using RPI as a reference index. No material additions or disposals have occurred since the valuation was prepared. Assets acquired in future will be measured at historic cost.</w:t>
      </w:r>
    </w:p>
    <w:p w14:paraId="76170138" w14:textId="77777777" w:rsidR="00EA3AD8" w:rsidRPr="00183434" w:rsidRDefault="00EA3AD8" w:rsidP="00183434">
      <w:pPr>
        <w:jc w:val="both"/>
        <w:rPr>
          <w:rFonts w:cs="Arial"/>
          <w:sz w:val="23"/>
          <w:szCs w:val="23"/>
        </w:rPr>
      </w:pPr>
    </w:p>
    <w:p w14:paraId="6B96C8D0" w14:textId="77777777" w:rsidR="00EA3AD8" w:rsidRPr="00183434" w:rsidRDefault="00EA3AD8" w:rsidP="00183434">
      <w:pPr>
        <w:jc w:val="both"/>
        <w:rPr>
          <w:rFonts w:cs="Arial"/>
          <w:sz w:val="23"/>
          <w:szCs w:val="23"/>
        </w:rPr>
      </w:pPr>
    </w:p>
    <w:p w14:paraId="12A2BCFD" w14:textId="77777777" w:rsidR="00F41674" w:rsidRPr="00183434" w:rsidRDefault="00F41674" w:rsidP="00183434">
      <w:pPr>
        <w:jc w:val="both"/>
        <w:rPr>
          <w:rFonts w:cs="Arial"/>
          <w:b/>
          <w:sz w:val="23"/>
          <w:szCs w:val="23"/>
        </w:rPr>
      </w:pPr>
    </w:p>
    <w:p w14:paraId="0838FF45" w14:textId="77777777" w:rsidR="00F41674" w:rsidRPr="00183434" w:rsidRDefault="00F41674" w:rsidP="00183434">
      <w:pPr>
        <w:jc w:val="both"/>
        <w:rPr>
          <w:rFonts w:cs="Arial"/>
          <w:b/>
          <w:sz w:val="23"/>
          <w:szCs w:val="23"/>
        </w:rPr>
      </w:pPr>
    </w:p>
    <w:p w14:paraId="0DA5A6E0" w14:textId="77777777" w:rsidR="00F41674" w:rsidRPr="00183434" w:rsidRDefault="00F41674" w:rsidP="00183434">
      <w:pPr>
        <w:jc w:val="both"/>
        <w:rPr>
          <w:rFonts w:cs="Arial"/>
          <w:b/>
          <w:sz w:val="23"/>
          <w:szCs w:val="23"/>
          <w:highlight w:val="cyan"/>
        </w:rPr>
      </w:pPr>
    </w:p>
    <w:p w14:paraId="26FFAAAE" w14:textId="77777777" w:rsidR="00F41674" w:rsidRPr="00183434" w:rsidRDefault="00F41674" w:rsidP="00183434">
      <w:pPr>
        <w:jc w:val="both"/>
        <w:rPr>
          <w:rFonts w:cs="Arial"/>
          <w:b/>
          <w:sz w:val="23"/>
          <w:szCs w:val="23"/>
          <w:highlight w:val="cyan"/>
        </w:rPr>
      </w:pPr>
    </w:p>
    <w:p w14:paraId="39439DBE" w14:textId="77777777" w:rsidR="00F41674" w:rsidRPr="00183434" w:rsidRDefault="00F41674" w:rsidP="00183434">
      <w:pPr>
        <w:jc w:val="both"/>
        <w:rPr>
          <w:rFonts w:cs="Arial"/>
          <w:b/>
          <w:sz w:val="23"/>
          <w:szCs w:val="23"/>
          <w:highlight w:val="cyan"/>
        </w:rPr>
      </w:pPr>
    </w:p>
    <w:p w14:paraId="72075544" w14:textId="77777777" w:rsidR="00F41674" w:rsidRPr="00183434" w:rsidRDefault="00F41674" w:rsidP="00183434">
      <w:pPr>
        <w:jc w:val="both"/>
        <w:rPr>
          <w:rFonts w:cs="Arial"/>
          <w:b/>
          <w:sz w:val="23"/>
          <w:szCs w:val="23"/>
          <w:highlight w:val="cyan"/>
        </w:rPr>
      </w:pPr>
    </w:p>
    <w:p w14:paraId="1E5F0A57" w14:textId="77777777" w:rsidR="00F41674" w:rsidRPr="00183434" w:rsidRDefault="00F41674" w:rsidP="00183434">
      <w:pPr>
        <w:jc w:val="both"/>
        <w:rPr>
          <w:rFonts w:cs="Arial"/>
          <w:b/>
          <w:sz w:val="23"/>
          <w:szCs w:val="23"/>
          <w:highlight w:val="cyan"/>
        </w:rPr>
      </w:pPr>
    </w:p>
    <w:p w14:paraId="3F1C702A" w14:textId="77777777" w:rsidR="00F41674" w:rsidRPr="00183434" w:rsidRDefault="00F41674" w:rsidP="00183434">
      <w:pPr>
        <w:jc w:val="both"/>
        <w:rPr>
          <w:rFonts w:cs="Arial"/>
          <w:b/>
          <w:sz w:val="23"/>
          <w:szCs w:val="23"/>
          <w:highlight w:val="cyan"/>
        </w:rPr>
      </w:pPr>
    </w:p>
    <w:p w14:paraId="4107DCD1" w14:textId="77777777" w:rsidR="00F41674" w:rsidRPr="00183434" w:rsidRDefault="00F41674" w:rsidP="00183434">
      <w:pPr>
        <w:jc w:val="both"/>
        <w:rPr>
          <w:rFonts w:cs="Arial"/>
          <w:b/>
          <w:sz w:val="23"/>
          <w:szCs w:val="23"/>
          <w:highlight w:val="cyan"/>
        </w:rPr>
      </w:pPr>
    </w:p>
    <w:p w14:paraId="12F4E56A" w14:textId="77777777" w:rsidR="00191059" w:rsidRPr="00183434" w:rsidRDefault="00191059" w:rsidP="00183434">
      <w:pPr>
        <w:jc w:val="both"/>
        <w:rPr>
          <w:rFonts w:cs="Arial"/>
          <w:b/>
          <w:sz w:val="23"/>
          <w:szCs w:val="23"/>
          <w:highlight w:val="cyan"/>
        </w:rPr>
      </w:pPr>
      <w:r w:rsidRPr="00183434">
        <w:rPr>
          <w:rFonts w:cs="Arial"/>
          <w:b/>
          <w:sz w:val="23"/>
          <w:szCs w:val="23"/>
          <w:highlight w:val="cyan"/>
        </w:rPr>
        <w:br w:type="page"/>
      </w:r>
    </w:p>
    <w:p w14:paraId="65AF046E" w14:textId="43EDC03E" w:rsidR="00386757" w:rsidRPr="00183434" w:rsidRDefault="00386757" w:rsidP="00183434">
      <w:pPr>
        <w:jc w:val="both"/>
        <w:rPr>
          <w:rFonts w:cs="Arial"/>
          <w:b/>
          <w:sz w:val="23"/>
          <w:szCs w:val="23"/>
          <w:u w:val="single"/>
        </w:rPr>
      </w:pPr>
      <w:r w:rsidRPr="00183434">
        <w:rPr>
          <w:rFonts w:cs="Arial"/>
          <w:b/>
          <w:sz w:val="23"/>
          <w:szCs w:val="23"/>
        </w:rPr>
        <w:lastRenderedPageBreak/>
        <w:t>2</w:t>
      </w:r>
      <w:r w:rsidR="001B2752" w:rsidRPr="00183434">
        <w:rPr>
          <w:rFonts w:cs="Arial"/>
          <w:b/>
          <w:sz w:val="23"/>
          <w:szCs w:val="23"/>
        </w:rPr>
        <w:t>3</w:t>
      </w:r>
      <w:r w:rsidRPr="00183434">
        <w:rPr>
          <w:rFonts w:cs="Arial"/>
          <w:sz w:val="23"/>
          <w:szCs w:val="23"/>
        </w:rPr>
        <w:t>.</w:t>
      </w:r>
      <w:r w:rsidRPr="00183434">
        <w:rPr>
          <w:rFonts w:cs="Arial"/>
          <w:sz w:val="23"/>
          <w:szCs w:val="23"/>
        </w:rPr>
        <w:tab/>
      </w:r>
      <w:r w:rsidRPr="00183434">
        <w:rPr>
          <w:rFonts w:cs="Arial"/>
          <w:b/>
          <w:sz w:val="23"/>
          <w:szCs w:val="23"/>
          <w:u w:val="single"/>
        </w:rPr>
        <w:t>CAPITAL COMMITMENTS</w:t>
      </w:r>
    </w:p>
    <w:p w14:paraId="0649ED3F" w14:textId="77777777" w:rsidR="00386757" w:rsidRPr="00183434" w:rsidRDefault="00386757" w:rsidP="00183434">
      <w:pPr>
        <w:jc w:val="both"/>
        <w:rPr>
          <w:rFonts w:cs="Arial"/>
          <w:sz w:val="23"/>
          <w:szCs w:val="23"/>
        </w:rPr>
      </w:pPr>
    </w:p>
    <w:p w14:paraId="5D1F31F9" w14:textId="20AA38EB" w:rsidR="00E556BF" w:rsidRPr="00183434" w:rsidRDefault="00386757" w:rsidP="00183434">
      <w:pPr>
        <w:ind w:left="720"/>
        <w:jc w:val="both"/>
        <w:rPr>
          <w:rFonts w:cs="Arial"/>
          <w:sz w:val="23"/>
          <w:szCs w:val="23"/>
        </w:rPr>
      </w:pPr>
      <w:r w:rsidRPr="00183434">
        <w:rPr>
          <w:rFonts w:cs="Arial"/>
          <w:sz w:val="23"/>
          <w:szCs w:val="23"/>
        </w:rPr>
        <w:t xml:space="preserve">The Council has approved a capital programme for the </w:t>
      </w:r>
      <w:proofErr w:type="gramStart"/>
      <w:r w:rsidRPr="00183434">
        <w:rPr>
          <w:rFonts w:cs="Arial"/>
          <w:sz w:val="23"/>
          <w:szCs w:val="23"/>
        </w:rPr>
        <w:t>two year</w:t>
      </w:r>
      <w:proofErr w:type="gramEnd"/>
      <w:r w:rsidRPr="00183434">
        <w:rPr>
          <w:rFonts w:cs="Arial"/>
          <w:sz w:val="23"/>
          <w:szCs w:val="23"/>
        </w:rPr>
        <w:t xml:space="preserve"> period to</w:t>
      </w:r>
      <w:r w:rsidR="0020319A" w:rsidRPr="00183434">
        <w:rPr>
          <w:rFonts w:cs="Arial"/>
          <w:sz w:val="23"/>
          <w:szCs w:val="23"/>
        </w:rPr>
        <w:t xml:space="preserve"> </w:t>
      </w:r>
      <w:r w:rsidR="009A2C03" w:rsidRPr="00183434">
        <w:rPr>
          <w:rFonts w:cs="Arial"/>
          <w:sz w:val="23"/>
          <w:szCs w:val="23"/>
        </w:rPr>
        <w:t>202</w:t>
      </w:r>
      <w:r w:rsidR="00675130" w:rsidRPr="00183434">
        <w:rPr>
          <w:rFonts w:cs="Arial"/>
          <w:sz w:val="23"/>
          <w:szCs w:val="23"/>
        </w:rPr>
        <w:t>7</w:t>
      </w:r>
      <w:r w:rsidR="00FC73AD" w:rsidRPr="00183434">
        <w:rPr>
          <w:rFonts w:cs="Arial"/>
          <w:sz w:val="23"/>
          <w:szCs w:val="23"/>
        </w:rPr>
        <w:t>/</w:t>
      </w:r>
      <w:r w:rsidR="009A2C03" w:rsidRPr="00183434">
        <w:rPr>
          <w:rFonts w:cs="Arial"/>
          <w:sz w:val="23"/>
          <w:szCs w:val="23"/>
        </w:rPr>
        <w:t>2</w:t>
      </w:r>
      <w:r w:rsidR="00675130" w:rsidRPr="00183434">
        <w:rPr>
          <w:rFonts w:cs="Arial"/>
          <w:sz w:val="23"/>
          <w:szCs w:val="23"/>
        </w:rPr>
        <w:t>8</w:t>
      </w:r>
      <w:r w:rsidR="00835F2F" w:rsidRPr="00183434">
        <w:rPr>
          <w:rFonts w:cs="Arial"/>
          <w:sz w:val="23"/>
          <w:szCs w:val="23"/>
        </w:rPr>
        <w:t xml:space="preserve"> </w:t>
      </w:r>
      <w:r w:rsidR="009C6E84" w:rsidRPr="00183434">
        <w:rPr>
          <w:rFonts w:cs="Arial"/>
          <w:sz w:val="23"/>
          <w:szCs w:val="23"/>
        </w:rPr>
        <w:t xml:space="preserve">amounting to </w:t>
      </w:r>
      <w:r w:rsidR="00835F2F" w:rsidRPr="00183434">
        <w:rPr>
          <w:rFonts w:cs="Arial"/>
          <w:sz w:val="23"/>
          <w:szCs w:val="23"/>
        </w:rPr>
        <w:t>£</w:t>
      </w:r>
      <w:r w:rsidR="00675130" w:rsidRPr="00183434">
        <w:rPr>
          <w:rFonts w:cs="Arial"/>
          <w:sz w:val="23"/>
          <w:szCs w:val="23"/>
        </w:rPr>
        <w:t>70.4</w:t>
      </w:r>
      <w:r w:rsidR="00835F2F" w:rsidRPr="00183434">
        <w:rPr>
          <w:rFonts w:cs="Arial"/>
          <w:sz w:val="23"/>
          <w:szCs w:val="23"/>
        </w:rPr>
        <w:t xml:space="preserve">m of which approximately </w:t>
      </w:r>
      <w:r w:rsidR="009C6E84" w:rsidRPr="00183434">
        <w:rPr>
          <w:rFonts w:cs="Arial"/>
          <w:sz w:val="23"/>
          <w:szCs w:val="23"/>
        </w:rPr>
        <w:t>£</w:t>
      </w:r>
      <w:r w:rsidR="00F67F83" w:rsidRPr="00183434">
        <w:rPr>
          <w:rFonts w:cs="Arial"/>
          <w:sz w:val="23"/>
          <w:szCs w:val="23"/>
        </w:rPr>
        <w:t>30</w:t>
      </w:r>
      <w:r w:rsidR="00EC05D3" w:rsidRPr="00183434">
        <w:rPr>
          <w:rFonts w:cs="Arial"/>
          <w:sz w:val="23"/>
          <w:szCs w:val="23"/>
        </w:rPr>
        <w:t>.</w:t>
      </w:r>
      <w:r w:rsidR="00675130" w:rsidRPr="00183434">
        <w:rPr>
          <w:rFonts w:cs="Arial"/>
          <w:sz w:val="23"/>
          <w:szCs w:val="23"/>
        </w:rPr>
        <w:t>1</w:t>
      </w:r>
      <w:r w:rsidR="00406666" w:rsidRPr="00183434">
        <w:rPr>
          <w:rFonts w:cs="Arial"/>
          <w:sz w:val="23"/>
          <w:szCs w:val="23"/>
        </w:rPr>
        <w:t>m</w:t>
      </w:r>
      <w:r w:rsidRPr="00183434">
        <w:rPr>
          <w:rFonts w:cs="Arial"/>
          <w:sz w:val="23"/>
          <w:szCs w:val="23"/>
        </w:rPr>
        <w:t xml:space="preserve"> was contractually committed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00FC73AD" w:rsidRPr="00183434">
        <w:rPr>
          <w:rFonts w:cs="Arial"/>
          <w:sz w:val="23"/>
          <w:szCs w:val="23"/>
        </w:rPr>
        <w:t xml:space="preserve"> March 20</w:t>
      </w:r>
      <w:r w:rsidR="009C3CA9" w:rsidRPr="00183434">
        <w:rPr>
          <w:rFonts w:cs="Arial"/>
          <w:sz w:val="23"/>
          <w:szCs w:val="23"/>
        </w:rPr>
        <w:t>2</w:t>
      </w:r>
      <w:r w:rsidR="00D67660" w:rsidRPr="00183434">
        <w:rPr>
          <w:rFonts w:cs="Arial"/>
          <w:sz w:val="23"/>
          <w:szCs w:val="23"/>
        </w:rPr>
        <w:t>6</w:t>
      </w:r>
      <w:r w:rsidR="003C563D" w:rsidRPr="00183434">
        <w:rPr>
          <w:rFonts w:cs="Arial"/>
          <w:sz w:val="23"/>
          <w:szCs w:val="23"/>
        </w:rPr>
        <w:t>.</w:t>
      </w:r>
    </w:p>
    <w:p w14:paraId="233D8484" w14:textId="77777777" w:rsidR="00F41674" w:rsidRPr="00183434" w:rsidRDefault="00F41674" w:rsidP="00183434">
      <w:pPr>
        <w:ind w:left="720"/>
        <w:jc w:val="both"/>
        <w:rPr>
          <w:rFonts w:cs="Arial"/>
          <w:sz w:val="23"/>
          <w:szCs w:val="23"/>
        </w:rPr>
      </w:pPr>
    </w:p>
    <w:p w14:paraId="0A11779A" w14:textId="0957C301" w:rsidR="00811AA8" w:rsidRPr="00183434" w:rsidRDefault="003A2C8B" w:rsidP="00183434">
      <w:pPr>
        <w:ind w:left="709"/>
        <w:jc w:val="both"/>
        <w:rPr>
          <w:rFonts w:cs="Arial"/>
          <w:sz w:val="23"/>
          <w:szCs w:val="23"/>
        </w:rPr>
      </w:pPr>
      <w:r w:rsidRPr="00183434">
        <w:rPr>
          <w:rFonts w:cs="Arial"/>
          <w:sz w:val="23"/>
          <w:szCs w:val="23"/>
        </w:rPr>
        <w:object w:dxaOrig="9200" w:dyaOrig="3170" w14:anchorId="70C2EA0D">
          <v:shape id="_x0000_i1065" type="#_x0000_t75" style="width:426.25pt;height:146.3pt" o:ole="">
            <v:imagedata r:id="rId96" o:title=""/>
          </v:shape>
          <o:OLEObject Type="Link" ProgID="Excel.Sheet.12" ShapeID="_x0000_i1065" DrawAspect="Content" r:id="rId97" UpdateMode="Always">
            <o:LinkType>EnhancedMetaFile</o:LinkType>
            <o:LockedField>false</o:LockedField>
            <o:FieldCodes>\* MERGEFORMAT</o:FieldCodes>
          </o:OLEObject>
        </w:object>
      </w:r>
    </w:p>
    <w:p w14:paraId="5B25F289" w14:textId="77777777" w:rsidR="00374AF5" w:rsidRPr="00183434" w:rsidRDefault="00374AF5" w:rsidP="00183434">
      <w:pPr>
        <w:ind w:left="709"/>
        <w:jc w:val="both"/>
        <w:rPr>
          <w:rFonts w:cs="Arial"/>
          <w:sz w:val="23"/>
          <w:szCs w:val="23"/>
          <w:highlight w:val="cyan"/>
        </w:rPr>
      </w:pPr>
    </w:p>
    <w:p w14:paraId="0EBA7EDA" w14:textId="04768697" w:rsidR="00386757" w:rsidRPr="00183434" w:rsidRDefault="00386757" w:rsidP="00183434">
      <w:pPr>
        <w:jc w:val="both"/>
        <w:rPr>
          <w:rFonts w:cs="Arial"/>
          <w:sz w:val="23"/>
          <w:szCs w:val="23"/>
        </w:rPr>
      </w:pPr>
      <w:r w:rsidRPr="00183434">
        <w:rPr>
          <w:rFonts w:cs="Arial"/>
          <w:b/>
          <w:sz w:val="23"/>
          <w:szCs w:val="23"/>
        </w:rPr>
        <w:t>2</w:t>
      </w:r>
      <w:r w:rsidR="001B2752" w:rsidRPr="00183434">
        <w:rPr>
          <w:rFonts w:cs="Arial"/>
          <w:b/>
          <w:sz w:val="23"/>
          <w:szCs w:val="23"/>
        </w:rPr>
        <w:t>4</w:t>
      </w:r>
      <w:r w:rsidRPr="00183434">
        <w:rPr>
          <w:rFonts w:cs="Arial"/>
          <w:sz w:val="23"/>
          <w:szCs w:val="23"/>
        </w:rPr>
        <w:t xml:space="preserve">. </w:t>
      </w:r>
      <w:r w:rsidRPr="00183434">
        <w:rPr>
          <w:rFonts w:cs="Arial"/>
          <w:sz w:val="23"/>
          <w:szCs w:val="23"/>
        </w:rPr>
        <w:tab/>
      </w:r>
      <w:r w:rsidRPr="00183434">
        <w:rPr>
          <w:rFonts w:cs="Arial"/>
          <w:b/>
          <w:sz w:val="23"/>
          <w:szCs w:val="23"/>
          <w:u w:val="single"/>
        </w:rPr>
        <w:t>CAPITAL EXPENDITURE &amp; FINANCING</w:t>
      </w:r>
    </w:p>
    <w:p w14:paraId="23A13CBA" w14:textId="77777777" w:rsidR="00386757" w:rsidRPr="00183434" w:rsidRDefault="00386757" w:rsidP="00183434">
      <w:pPr>
        <w:jc w:val="both"/>
        <w:rPr>
          <w:rFonts w:cs="Arial"/>
          <w:sz w:val="23"/>
          <w:szCs w:val="23"/>
        </w:rPr>
      </w:pPr>
      <w:r w:rsidRPr="00183434">
        <w:rPr>
          <w:rFonts w:cs="Arial"/>
          <w:sz w:val="23"/>
          <w:szCs w:val="23"/>
        </w:rPr>
        <w:tab/>
      </w:r>
    </w:p>
    <w:p w14:paraId="7BA362A4" w14:textId="77777777" w:rsidR="007B41A5" w:rsidRDefault="00386757" w:rsidP="00183434">
      <w:pPr>
        <w:ind w:left="720"/>
        <w:jc w:val="both"/>
        <w:rPr>
          <w:rFonts w:cs="Arial"/>
          <w:sz w:val="23"/>
          <w:szCs w:val="23"/>
        </w:rPr>
      </w:pPr>
      <w:r w:rsidRPr="00183434">
        <w:rPr>
          <w:rFonts w:cs="Arial"/>
          <w:sz w:val="23"/>
          <w:szCs w:val="23"/>
        </w:rPr>
        <w:t xml:space="preserve">The total amount of capital expenditure incurred in the year is shown in the table below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 </w:t>
      </w:r>
    </w:p>
    <w:p w14:paraId="5040D600" w14:textId="77777777" w:rsidR="00257E9C" w:rsidRDefault="00257E9C" w:rsidP="00183434">
      <w:pPr>
        <w:ind w:left="720"/>
        <w:jc w:val="both"/>
        <w:rPr>
          <w:rFonts w:cs="Arial"/>
          <w:sz w:val="23"/>
          <w:szCs w:val="23"/>
        </w:rPr>
      </w:pPr>
    </w:p>
    <w:p w14:paraId="60E2D110" w14:textId="77777777" w:rsidR="00257E9C" w:rsidRPr="00183434" w:rsidRDefault="00257E9C" w:rsidP="00183434">
      <w:pPr>
        <w:ind w:left="720"/>
        <w:jc w:val="both"/>
        <w:rPr>
          <w:rFonts w:cs="Arial"/>
          <w:sz w:val="23"/>
          <w:szCs w:val="23"/>
        </w:rPr>
      </w:pPr>
    </w:p>
    <w:p w14:paraId="30F2546B" w14:textId="77777777" w:rsidR="00372050" w:rsidRPr="00183434" w:rsidRDefault="00372050" w:rsidP="00183434">
      <w:pPr>
        <w:ind w:left="720"/>
        <w:jc w:val="both"/>
        <w:rPr>
          <w:rFonts w:cs="Arial"/>
          <w:sz w:val="23"/>
          <w:szCs w:val="23"/>
          <w:highlight w:val="cyan"/>
        </w:rPr>
      </w:pPr>
    </w:p>
    <w:p w14:paraId="24956E7B" w14:textId="50D0670D" w:rsidR="009E17B4" w:rsidRPr="00183434" w:rsidRDefault="00E03CBB" w:rsidP="00183434">
      <w:pPr>
        <w:ind w:left="720"/>
        <w:jc w:val="both"/>
        <w:rPr>
          <w:rFonts w:cs="Arial"/>
          <w:sz w:val="23"/>
          <w:szCs w:val="23"/>
        </w:rPr>
      </w:pPr>
      <w:r w:rsidRPr="00183434">
        <w:rPr>
          <w:rFonts w:cs="Arial"/>
          <w:sz w:val="23"/>
          <w:szCs w:val="23"/>
        </w:rPr>
        <w:object w:dxaOrig="8394" w:dyaOrig="6382" w14:anchorId="018029D2">
          <v:shape id="_x0000_i1066" type="#_x0000_t75" style="width:419.9pt;height:338.7pt" o:ole="">
            <v:imagedata r:id="rId98" o:title=""/>
          </v:shape>
          <o:OLEObject Type="Link" ProgID="Excel.Sheet.12" ShapeID="_x0000_i1066" DrawAspect="Content" r:id="rId99" UpdateMode="Always">
            <o:LinkType>EnhancedMetaFile</o:LinkType>
            <o:LockedField>false</o:LockedField>
            <o:FieldCodes>\* MERGEFORMAT</o:FieldCodes>
          </o:OLEObject>
        </w:object>
      </w:r>
    </w:p>
    <w:p w14:paraId="67D8404E" w14:textId="2EEA8CD8" w:rsidR="00F52607" w:rsidRPr="00183434" w:rsidRDefault="00F52607" w:rsidP="00183434">
      <w:pPr>
        <w:ind w:left="851"/>
        <w:jc w:val="both"/>
        <w:rPr>
          <w:rFonts w:cs="Arial"/>
          <w:sz w:val="23"/>
          <w:szCs w:val="23"/>
          <w:highlight w:val="cyan"/>
        </w:rPr>
      </w:pPr>
    </w:p>
    <w:p w14:paraId="3EF14D5D" w14:textId="77777777" w:rsidR="00191059" w:rsidRPr="00183434" w:rsidRDefault="00191059" w:rsidP="00183434">
      <w:pPr>
        <w:jc w:val="both"/>
        <w:rPr>
          <w:rFonts w:cs="Arial"/>
          <w:b/>
          <w:sz w:val="23"/>
          <w:szCs w:val="23"/>
          <w:highlight w:val="cyan"/>
        </w:rPr>
      </w:pPr>
    </w:p>
    <w:p w14:paraId="6E27F0FC" w14:textId="5811D3A5" w:rsidR="00386757" w:rsidRPr="00183434" w:rsidRDefault="00386757" w:rsidP="00183434">
      <w:pPr>
        <w:jc w:val="both"/>
        <w:rPr>
          <w:rFonts w:cs="Arial"/>
          <w:b/>
          <w:sz w:val="23"/>
          <w:szCs w:val="23"/>
          <w:u w:val="single"/>
        </w:rPr>
      </w:pPr>
      <w:r w:rsidRPr="00183434">
        <w:rPr>
          <w:rFonts w:cs="Arial"/>
          <w:b/>
          <w:sz w:val="23"/>
          <w:szCs w:val="23"/>
        </w:rPr>
        <w:t>2</w:t>
      </w:r>
      <w:r w:rsidR="001B2752" w:rsidRPr="00183434">
        <w:rPr>
          <w:rFonts w:cs="Arial"/>
          <w:b/>
          <w:sz w:val="23"/>
          <w:szCs w:val="23"/>
        </w:rPr>
        <w:t>5</w:t>
      </w:r>
      <w:r w:rsidRPr="00183434">
        <w:rPr>
          <w:rFonts w:cs="Arial"/>
          <w:sz w:val="23"/>
          <w:szCs w:val="23"/>
        </w:rPr>
        <w:t xml:space="preserve">. </w:t>
      </w:r>
      <w:r w:rsidRPr="00183434">
        <w:rPr>
          <w:rFonts w:cs="Arial"/>
          <w:sz w:val="23"/>
          <w:szCs w:val="23"/>
        </w:rPr>
        <w:tab/>
      </w:r>
      <w:r w:rsidRPr="00183434">
        <w:rPr>
          <w:rFonts w:cs="Arial"/>
          <w:b/>
          <w:sz w:val="23"/>
          <w:szCs w:val="23"/>
          <w:u w:val="single"/>
        </w:rPr>
        <w:t>INVESTMENT PROPERTIES</w:t>
      </w:r>
    </w:p>
    <w:p w14:paraId="0D54EF08" w14:textId="77777777" w:rsidR="0019632C" w:rsidRPr="00183434" w:rsidRDefault="0019632C" w:rsidP="00183434">
      <w:pPr>
        <w:jc w:val="both"/>
        <w:rPr>
          <w:rFonts w:cs="Arial"/>
          <w:b/>
          <w:sz w:val="23"/>
          <w:szCs w:val="23"/>
          <w:u w:val="single"/>
        </w:rPr>
      </w:pPr>
    </w:p>
    <w:p w14:paraId="0E62C693" w14:textId="77777777" w:rsidR="00386757" w:rsidRPr="00183434" w:rsidRDefault="00386757" w:rsidP="00183434">
      <w:pPr>
        <w:ind w:left="720"/>
        <w:jc w:val="both"/>
        <w:rPr>
          <w:rFonts w:cs="Arial"/>
          <w:sz w:val="23"/>
          <w:szCs w:val="23"/>
        </w:rPr>
      </w:pPr>
      <w:r w:rsidRPr="00183434">
        <w:rPr>
          <w:rFonts w:cs="Arial"/>
          <w:sz w:val="23"/>
          <w:szCs w:val="23"/>
        </w:rPr>
        <w:t>The following items of income and expense have been accounted for in the Financing and Investment Income and Expenditure line in the Comprehensive Income and Expenditure Statement.</w:t>
      </w:r>
    </w:p>
    <w:p w14:paraId="6128EA41" w14:textId="77777777" w:rsidR="005A29A8" w:rsidRPr="00183434" w:rsidRDefault="005A29A8" w:rsidP="00183434">
      <w:pPr>
        <w:ind w:left="720"/>
        <w:jc w:val="both"/>
        <w:rPr>
          <w:rFonts w:cs="Arial"/>
          <w:sz w:val="23"/>
          <w:szCs w:val="23"/>
        </w:rPr>
      </w:pPr>
    </w:p>
    <w:p w14:paraId="7E689F82" w14:textId="77777777" w:rsidR="002E1254" w:rsidRPr="00183434" w:rsidRDefault="002E1254" w:rsidP="00183434">
      <w:pPr>
        <w:ind w:left="720"/>
        <w:jc w:val="both"/>
        <w:rPr>
          <w:rFonts w:cs="Arial"/>
          <w:sz w:val="23"/>
          <w:szCs w:val="23"/>
        </w:rPr>
      </w:pPr>
    </w:p>
    <w:p w14:paraId="0EBC4194" w14:textId="2D7B3840" w:rsidR="00386757" w:rsidRPr="00183434" w:rsidRDefault="00D82167" w:rsidP="00183434">
      <w:pPr>
        <w:ind w:left="720"/>
        <w:jc w:val="both"/>
        <w:rPr>
          <w:rFonts w:cs="Arial"/>
          <w:sz w:val="23"/>
          <w:szCs w:val="23"/>
        </w:rPr>
      </w:pPr>
      <w:r w:rsidRPr="00183434">
        <w:rPr>
          <w:rFonts w:cs="Arial"/>
          <w:sz w:val="23"/>
          <w:szCs w:val="23"/>
        </w:rPr>
        <w:object w:dxaOrig="8518" w:dyaOrig="2106" w14:anchorId="4FA60D5A">
          <v:shape id="_x0000_i1067" type="#_x0000_t75" style="width:414.15pt;height:103.7pt" o:ole="">
            <v:imagedata r:id="rId100" o:title=""/>
          </v:shape>
          <o:OLEObject Type="Link" ProgID="Excel.Sheet.12" ShapeID="_x0000_i1067" DrawAspect="Content" r:id="rId101" UpdateMode="Always">
            <o:LinkType>EnhancedMetaFile</o:LinkType>
            <o:LockedField>false</o:LockedField>
            <o:FieldCodes>\* MERGEFORMAT</o:FieldCodes>
          </o:OLEObject>
        </w:object>
      </w:r>
    </w:p>
    <w:p w14:paraId="672C8E46" w14:textId="77777777" w:rsidR="00396733" w:rsidRPr="00183434" w:rsidRDefault="00396733" w:rsidP="00183434">
      <w:pPr>
        <w:ind w:left="720"/>
        <w:jc w:val="both"/>
        <w:rPr>
          <w:rFonts w:cs="Arial"/>
          <w:sz w:val="23"/>
          <w:szCs w:val="23"/>
          <w:highlight w:val="cyan"/>
        </w:rPr>
      </w:pPr>
    </w:p>
    <w:p w14:paraId="335B0685" w14:textId="77777777" w:rsidR="00386757" w:rsidRPr="00183434" w:rsidRDefault="00386757" w:rsidP="00183434">
      <w:pPr>
        <w:ind w:left="720"/>
        <w:jc w:val="both"/>
        <w:rPr>
          <w:rFonts w:cs="Arial"/>
          <w:sz w:val="23"/>
          <w:szCs w:val="23"/>
        </w:rPr>
      </w:pPr>
      <w:r w:rsidRPr="00183434">
        <w:rPr>
          <w:rFonts w:cs="Arial"/>
          <w:sz w:val="23"/>
          <w:szCs w:val="23"/>
        </w:rPr>
        <w:t>Generally, there are no restrictions on the Council’s ability to realise the value inherent in its investment property or on the Council’s right to the revenue income and proceeds of disposal. The exceptions to this are as follows:</w:t>
      </w:r>
    </w:p>
    <w:p w14:paraId="4615F628" w14:textId="77777777" w:rsidR="00386757" w:rsidRPr="00183434" w:rsidRDefault="00386757" w:rsidP="00183434">
      <w:pPr>
        <w:ind w:left="720"/>
        <w:jc w:val="both"/>
        <w:rPr>
          <w:rFonts w:cs="Arial"/>
          <w:sz w:val="23"/>
          <w:szCs w:val="23"/>
        </w:rPr>
      </w:pPr>
    </w:p>
    <w:p w14:paraId="53912E34" w14:textId="77777777" w:rsidR="00386757" w:rsidRPr="00183434" w:rsidRDefault="00386757" w:rsidP="00183434">
      <w:pPr>
        <w:numPr>
          <w:ilvl w:val="0"/>
          <w:numId w:val="30"/>
        </w:numPr>
        <w:jc w:val="both"/>
        <w:rPr>
          <w:rFonts w:cs="Arial"/>
          <w:sz w:val="23"/>
          <w:szCs w:val="23"/>
        </w:rPr>
      </w:pPr>
      <w:r w:rsidRPr="00183434">
        <w:rPr>
          <w:rFonts w:cs="Arial"/>
          <w:sz w:val="23"/>
          <w:szCs w:val="23"/>
        </w:rPr>
        <w:t xml:space="preserve">Tapton House School was gifted to the authority and must be used for the benefit of the inhabitants of Chesterfield. </w:t>
      </w:r>
    </w:p>
    <w:p w14:paraId="03A65A49" w14:textId="77777777" w:rsidR="00151074" w:rsidRPr="00183434" w:rsidRDefault="00151074" w:rsidP="00183434">
      <w:pPr>
        <w:jc w:val="both"/>
        <w:rPr>
          <w:rFonts w:cs="Arial"/>
          <w:sz w:val="23"/>
          <w:szCs w:val="23"/>
        </w:rPr>
      </w:pPr>
    </w:p>
    <w:p w14:paraId="1FE24A62" w14:textId="77777777" w:rsidR="00386757" w:rsidRPr="00183434" w:rsidRDefault="00386757" w:rsidP="00183434">
      <w:pPr>
        <w:numPr>
          <w:ilvl w:val="0"/>
          <w:numId w:val="30"/>
        </w:numPr>
        <w:jc w:val="both"/>
        <w:rPr>
          <w:rFonts w:cs="Arial"/>
          <w:sz w:val="23"/>
          <w:szCs w:val="23"/>
        </w:rPr>
      </w:pPr>
      <w:r w:rsidRPr="00183434">
        <w:rPr>
          <w:rFonts w:cs="Arial"/>
          <w:sz w:val="23"/>
          <w:szCs w:val="23"/>
        </w:rPr>
        <w:t>Commercial and i</w:t>
      </w:r>
      <w:r w:rsidR="001136BC" w:rsidRPr="00183434">
        <w:rPr>
          <w:rFonts w:cs="Arial"/>
          <w:sz w:val="23"/>
          <w:szCs w:val="23"/>
        </w:rPr>
        <w:t>ndustrial units at</w:t>
      </w:r>
      <w:r w:rsidRPr="00183434">
        <w:rPr>
          <w:rFonts w:cs="Arial"/>
          <w:sz w:val="23"/>
          <w:szCs w:val="23"/>
        </w:rPr>
        <w:t xml:space="preserve"> Venture House and Prospect House were built by the authority but the construction was part funded by external grant funding. Net revenue income must be returned to these funding partners on an annual basis pro rata to the share of capital funding provided by them for the initial creation of the asset.  Any proceeds on disposal of these assets would be returned on a similar basis.</w:t>
      </w:r>
    </w:p>
    <w:p w14:paraId="474C5D5B" w14:textId="77777777" w:rsidR="00386757" w:rsidRPr="00183434" w:rsidRDefault="00386757" w:rsidP="00183434">
      <w:pPr>
        <w:ind w:left="720"/>
        <w:jc w:val="both"/>
        <w:rPr>
          <w:rFonts w:cs="Arial"/>
          <w:sz w:val="23"/>
          <w:szCs w:val="23"/>
        </w:rPr>
      </w:pPr>
    </w:p>
    <w:p w14:paraId="57A63809" w14:textId="77777777" w:rsidR="00386757" w:rsidRPr="00183434" w:rsidRDefault="00386757" w:rsidP="00183434">
      <w:pPr>
        <w:ind w:left="720"/>
        <w:jc w:val="both"/>
        <w:rPr>
          <w:rFonts w:cs="Arial"/>
          <w:sz w:val="23"/>
          <w:szCs w:val="23"/>
        </w:rPr>
      </w:pPr>
      <w:r w:rsidRPr="00183434">
        <w:rPr>
          <w:rFonts w:cs="Arial"/>
          <w:sz w:val="23"/>
          <w:szCs w:val="23"/>
        </w:rPr>
        <w:t>The Council has no contractual obligations to purchase, construct or develop investment property or for repairs, maintenance or enhancement except for the Pavements Centre, Dunston Farm and Tapton House where there is an obligation to maintain and repair.</w:t>
      </w:r>
    </w:p>
    <w:p w14:paraId="1EC09227" w14:textId="77777777" w:rsidR="00386757" w:rsidRPr="00183434" w:rsidRDefault="00386757" w:rsidP="00183434">
      <w:pPr>
        <w:jc w:val="both"/>
        <w:rPr>
          <w:rFonts w:cs="Arial"/>
          <w:sz w:val="23"/>
          <w:szCs w:val="23"/>
        </w:rPr>
      </w:pPr>
    </w:p>
    <w:p w14:paraId="5CB3B6B0" w14:textId="77777777" w:rsidR="00386757" w:rsidRDefault="00386757" w:rsidP="00183434">
      <w:pPr>
        <w:ind w:left="720"/>
        <w:jc w:val="both"/>
        <w:rPr>
          <w:rFonts w:cs="Arial"/>
          <w:sz w:val="23"/>
          <w:szCs w:val="23"/>
        </w:rPr>
      </w:pPr>
      <w:r w:rsidRPr="00183434">
        <w:rPr>
          <w:rFonts w:cs="Arial"/>
          <w:sz w:val="23"/>
          <w:szCs w:val="23"/>
        </w:rPr>
        <w:t>The following table summarises the movement in the fair value of investment properties over the year:</w:t>
      </w:r>
    </w:p>
    <w:p w14:paraId="5BC83250" w14:textId="77777777" w:rsidR="00257E9C" w:rsidRDefault="00257E9C" w:rsidP="00183434">
      <w:pPr>
        <w:ind w:left="720"/>
        <w:jc w:val="both"/>
        <w:rPr>
          <w:rFonts w:cs="Arial"/>
          <w:sz w:val="23"/>
          <w:szCs w:val="23"/>
        </w:rPr>
      </w:pPr>
    </w:p>
    <w:p w14:paraId="0AB74636" w14:textId="524489B7" w:rsidR="005A0A55" w:rsidRPr="00183434" w:rsidRDefault="00257E9C" w:rsidP="00183434">
      <w:pPr>
        <w:pStyle w:val="BodyTextIndent3"/>
        <w:ind w:left="709"/>
        <w:jc w:val="both"/>
        <w:rPr>
          <w:rFonts w:cs="Arial"/>
          <w:szCs w:val="23"/>
        </w:rPr>
      </w:pPr>
      <w:r w:rsidRPr="00183434">
        <w:rPr>
          <w:rFonts w:cs="Arial"/>
          <w:szCs w:val="23"/>
        </w:rPr>
        <w:object w:dxaOrig="8300" w:dyaOrig="4150" w14:anchorId="7A04F069">
          <v:shape id="_x0000_i1068" type="#_x0000_t75" style="width:399.75pt;height:199.85pt" o:ole="">
            <v:imagedata r:id="rId102" o:title=""/>
          </v:shape>
          <o:OLEObject Type="Link" ProgID="Excel.Sheet.12" ShapeID="_x0000_i1068" DrawAspect="Content" r:id="rId103" UpdateMode="Always">
            <o:LinkType>EnhancedMetaFile</o:LinkType>
            <o:LockedField>false</o:LockedField>
            <o:FieldCodes>\* MERGEFORMAT</o:FieldCodes>
          </o:OLEObject>
        </w:object>
      </w:r>
    </w:p>
    <w:p w14:paraId="5514ACD9" w14:textId="3488CDBD" w:rsidR="00372050" w:rsidRPr="00183434" w:rsidRDefault="00372050" w:rsidP="00183434">
      <w:pPr>
        <w:jc w:val="both"/>
        <w:rPr>
          <w:rFonts w:cs="Arial"/>
          <w:sz w:val="23"/>
          <w:szCs w:val="23"/>
          <w:highlight w:val="cyan"/>
        </w:rPr>
      </w:pPr>
    </w:p>
    <w:p w14:paraId="7A5F9EDF" w14:textId="69614EB0" w:rsidR="006F06A4" w:rsidRPr="00183434" w:rsidRDefault="006F06A4" w:rsidP="00183434">
      <w:pPr>
        <w:pStyle w:val="BodyTextIndent3"/>
        <w:ind w:left="0" w:firstLine="709"/>
        <w:jc w:val="both"/>
        <w:rPr>
          <w:rFonts w:cs="Arial"/>
          <w:szCs w:val="23"/>
          <w:u w:val="single"/>
        </w:rPr>
      </w:pPr>
      <w:r w:rsidRPr="00183434">
        <w:rPr>
          <w:rFonts w:cs="Arial"/>
          <w:szCs w:val="23"/>
          <w:u w:val="single"/>
        </w:rPr>
        <w:t>Fair Value Hierarchy</w:t>
      </w:r>
    </w:p>
    <w:p w14:paraId="415EC048" w14:textId="77777777" w:rsidR="006F06A4" w:rsidRPr="00183434" w:rsidRDefault="006F06A4" w:rsidP="00183434">
      <w:pPr>
        <w:pStyle w:val="BodyTextIndent3"/>
        <w:ind w:left="0"/>
        <w:jc w:val="both"/>
        <w:rPr>
          <w:rFonts w:cs="Arial"/>
          <w:szCs w:val="23"/>
          <w:u w:val="single"/>
        </w:rPr>
      </w:pPr>
    </w:p>
    <w:p w14:paraId="6B0359F4" w14:textId="47A9ADCF" w:rsidR="00811AA8" w:rsidRPr="00183434" w:rsidRDefault="006F06A4" w:rsidP="00183434">
      <w:pPr>
        <w:pStyle w:val="BodyTextIndent3"/>
        <w:jc w:val="both"/>
        <w:rPr>
          <w:rFonts w:cs="Arial"/>
          <w:szCs w:val="23"/>
        </w:rPr>
      </w:pPr>
      <w:r w:rsidRPr="00183434">
        <w:rPr>
          <w:rFonts w:cs="Arial"/>
          <w:szCs w:val="23"/>
        </w:rPr>
        <w:t xml:space="preserve">Details of the investment properties and information about their fair value hierarchy </w:t>
      </w:r>
      <w:proofErr w:type="gramStart"/>
      <w:r w:rsidRPr="00183434">
        <w:rPr>
          <w:rFonts w:cs="Arial"/>
          <w:szCs w:val="23"/>
        </w:rPr>
        <w:t>at</w:t>
      </w:r>
      <w:proofErr w:type="gramEnd"/>
      <w:r w:rsidRPr="00183434">
        <w:rPr>
          <w:rFonts w:cs="Arial"/>
          <w:szCs w:val="23"/>
        </w:rPr>
        <w:t xml:space="preserve"> 31</w:t>
      </w:r>
      <w:r w:rsidRPr="00183434">
        <w:rPr>
          <w:rFonts w:cs="Arial"/>
          <w:szCs w:val="23"/>
          <w:vertAlign w:val="superscript"/>
        </w:rPr>
        <w:t>st</w:t>
      </w:r>
      <w:r w:rsidR="00B41EFF" w:rsidRPr="00183434">
        <w:rPr>
          <w:rFonts w:cs="Arial"/>
          <w:szCs w:val="23"/>
        </w:rPr>
        <w:t xml:space="preserve"> March </w:t>
      </w:r>
      <w:r w:rsidR="00191059" w:rsidRPr="00183434">
        <w:rPr>
          <w:rFonts w:cs="Arial"/>
          <w:szCs w:val="23"/>
        </w:rPr>
        <w:t>202</w:t>
      </w:r>
      <w:r w:rsidR="00D67660" w:rsidRPr="00183434">
        <w:rPr>
          <w:rFonts w:cs="Arial"/>
          <w:szCs w:val="23"/>
        </w:rPr>
        <w:t>6</w:t>
      </w:r>
      <w:r w:rsidR="00191059" w:rsidRPr="00183434">
        <w:rPr>
          <w:rFonts w:cs="Arial"/>
          <w:szCs w:val="23"/>
        </w:rPr>
        <w:t xml:space="preserve"> </w:t>
      </w:r>
      <w:r w:rsidRPr="00183434">
        <w:rPr>
          <w:rFonts w:cs="Arial"/>
          <w:szCs w:val="23"/>
        </w:rPr>
        <w:t>are as follows:</w:t>
      </w:r>
    </w:p>
    <w:p w14:paraId="5BD3DC3F" w14:textId="77777777" w:rsidR="00372050" w:rsidRPr="00183434" w:rsidRDefault="00372050" w:rsidP="00183434">
      <w:pPr>
        <w:pStyle w:val="BodyTextIndent3"/>
        <w:jc w:val="both"/>
        <w:rPr>
          <w:rFonts w:cs="Arial"/>
          <w:szCs w:val="23"/>
        </w:rPr>
      </w:pPr>
    </w:p>
    <w:p w14:paraId="7A9ED0A3" w14:textId="77777777" w:rsidR="00C67162" w:rsidRPr="00183434" w:rsidRDefault="00C67162" w:rsidP="00183434">
      <w:pPr>
        <w:pStyle w:val="BodyTextIndent3"/>
        <w:jc w:val="both"/>
        <w:rPr>
          <w:rFonts w:cs="Arial"/>
          <w:szCs w:val="23"/>
        </w:rPr>
      </w:pPr>
    </w:p>
    <w:p w14:paraId="39B6E5BE" w14:textId="6CB6E09D" w:rsidR="006F06A4" w:rsidRPr="00183434" w:rsidRDefault="00D82167" w:rsidP="00183434">
      <w:pPr>
        <w:pStyle w:val="BodyTextIndent3"/>
        <w:jc w:val="both"/>
        <w:rPr>
          <w:rFonts w:cs="Arial"/>
          <w:szCs w:val="23"/>
        </w:rPr>
      </w:pPr>
      <w:r w:rsidRPr="00183434">
        <w:rPr>
          <w:rFonts w:cs="Arial"/>
          <w:szCs w:val="23"/>
        </w:rPr>
        <w:object w:dxaOrig="8153" w:dyaOrig="2566" w14:anchorId="4EC1271A">
          <v:shape id="_x0000_i1069" type="#_x0000_t75" style="width:427.95pt;height:133.65pt" o:ole="">
            <v:imagedata r:id="rId104" o:title=""/>
          </v:shape>
          <o:OLEObject Type="Link" ProgID="Excel.Sheet.12" ShapeID="_x0000_i1069" DrawAspect="Content" r:id="rId105" UpdateMode="Always">
            <o:LinkType>EnhancedMetaFile</o:LinkType>
            <o:LockedField>false</o:LockedField>
            <o:FieldCodes>\* MERGEFORMAT</o:FieldCodes>
          </o:OLEObject>
        </w:object>
      </w:r>
    </w:p>
    <w:p w14:paraId="38986C7C" w14:textId="77777777" w:rsidR="00B41EFF" w:rsidRPr="00183434" w:rsidRDefault="00B41EFF" w:rsidP="00183434">
      <w:pPr>
        <w:pStyle w:val="BodyTextIndent3"/>
        <w:ind w:left="0"/>
        <w:jc w:val="both"/>
        <w:rPr>
          <w:rFonts w:cs="Arial"/>
          <w:szCs w:val="23"/>
          <w:highlight w:val="cyan"/>
        </w:rPr>
      </w:pPr>
    </w:p>
    <w:p w14:paraId="4A86AF4E" w14:textId="77777777" w:rsidR="008E03A9" w:rsidRPr="00183434" w:rsidRDefault="008E03A9" w:rsidP="00183434">
      <w:pPr>
        <w:pStyle w:val="BodyTextIndent3"/>
        <w:ind w:left="0"/>
        <w:jc w:val="both"/>
        <w:rPr>
          <w:rFonts w:cs="Arial"/>
          <w:szCs w:val="23"/>
        </w:rPr>
      </w:pPr>
    </w:p>
    <w:p w14:paraId="2C003082" w14:textId="70142559" w:rsidR="00B41EFF" w:rsidRPr="00183434" w:rsidRDefault="00D82167" w:rsidP="00183434">
      <w:pPr>
        <w:pStyle w:val="BodyTextIndent3"/>
        <w:jc w:val="both"/>
        <w:rPr>
          <w:rFonts w:cs="Arial"/>
          <w:szCs w:val="23"/>
          <w:highlight w:val="cyan"/>
        </w:rPr>
      </w:pPr>
      <w:r w:rsidRPr="00183434">
        <w:rPr>
          <w:rFonts w:cs="Arial"/>
          <w:szCs w:val="23"/>
        </w:rPr>
        <w:object w:dxaOrig="8153" w:dyaOrig="2566" w14:anchorId="58D5E88B">
          <v:shape id="_x0000_i1070" type="#_x0000_t75" style="width:427.95pt;height:134.8pt" o:ole="">
            <v:imagedata r:id="rId106" o:title=""/>
          </v:shape>
          <o:OLEObject Type="Link" ProgID="Excel.Sheet.12" ShapeID="_x0000_i1070" DrawAspect="Content" r:id="rId107" UpdateMode="Always">
            <o:LinkType>EnhancedMetaFile</o:LinkType>
            <o:LockedField>false</o:LockedField>
            <o:FieldCodes>\* MERGEFORMAT</o:FieldCodes>
          </o:OLEObject>
        </w:object>
      </w:r>
    </w:p>
    <w:p w14:paraId="1E51B7A8" w14:textId="77777777" w:rsidR="00396733" w:rsidRPr="00183434" w:rsidRDefault="00396733" w:rsidP="00183434">
      <w:pPr>
        <w:pStyle w:val="BodyTextIndent3"/>
        <w:jc w:val="both"/>
        <w:rPr>
          <w:rFonts w:cs="Arial"/>
          <w:szCs w:val="23"/>
          <w:highlight w:val="cyan"/>
        </w:rPr>
      </w:pPr>
    </w:p>
    <w:p w14:paraId="3FFF65FF" w14:textId="77777777" w:rsidR="00386757" w:rsidRPr="00183434" w:rsidRDefault="00EE3572" w:rsidP="00183434">
      <w:pPr>
        <w:jc w:val="both"/>
        <w:rPr>
          <w:rFonts w:cs="Arial"/>
          <w:sz w:val="23"/>
          <w:szCs w:val="23"/>
          <w:highlight w:val="cyan"/>
        </w:rPr>
      </w:pPr>
      <w:r w:rsidRPr="00183434">
        <w:rPr>
          <w:rFonts w:cs="Arial"/>
          <w:sz w:val="23"/>
          <w:szCs w:val="23"/>
        </w:rPr>
        <w:tab/>
        <w:t>There were no transfers between Levels 2 and 3 during the year.</w:t>
      </w:r>
    </w:p>
    <w:p w14:paraId="43F8C9CB" w14:textId="77777777" w:rsidR="00EE3572" w:rsidRPr="00183434" w:rsidRDefault="00EE3572" w:rsidP="00183434">
      <w:pPr>
        <w:jc w:val="both"/>
        <w:rPr>
          <w:rFonts w:cs="Arial"/>
          <w:sz w:val="23"/>
          <w:szCs w:val="23"/>
        </w:rPr>
      </w:pPr>
    </w:p>
    <w:p w14:paraId="3A6248A3" w14:textId="4F5740FA" w:rsidR="00EE3572" w:rsidRPr="00183434" w:rsidRDefault="00EE3572" w:rsidP="00257E9C">
      <w:pPr>
        <w:ind w:left="720"/>
        <w:jc w:val="both"/>
        <w:rPr>
          <w:rFonts w:cs="Arial"/>
          <w:sz w:val="23"/>
          <w:szCs w:val="23"/>
          <w:u w:val="single"/>
        </w:rPr>
      </w:pPr>
      <w:r w:rsidRPr="00183434">
        <w:rPr>
          <w:rFonts w:cs="Arial"/>
          <w:sz w:val="23"/>
          <w:szCs w:val="23"/>
          <w:u w:val="single"/>
        </w:rPr>
        <w:t>Valuation Techniques used to Determine Level 2 and 3 Fair Values for Investment Properties</w:t>
      </w:r>
    </w:p>
    <w:p w14:paraId="67897186" w14:textId="77777777" w:rsidR="00EE3572" w:rsidRPr="00183434" w:rsidRDefault="00EE3572" w:rsidP="00183434">
      <w:pPr>
        <w:ind w:left="720"/>
        <w:jc w:val="both"/>
        <w:rPr>
          <w:rFonts w:cs="Arial"/>
          <w:sz w:val="23"/>
          <w:szCs w:val="23"/>
          <w:u w:val="single"/>
        </w:rPr>
      </w:pPr>
    </w:p>
    <w:p w14:paraId="1ED5197E" w14:textId="77777777" w:rsidR="00EE3572" w:rsidRPr="00183434" w:rsidRDefault="00EE3572" w:rsidP="00183434">
      <w:pPr>
        <w:ind w:left="720"/>
        <w:jc w:val="both"/>
        <w:rPr>
          <w:rFonts w:cs="Arial"/>
          <w:sz w:val="23"/>
          <w:szCs w:val="23"/>
          <w:u w:val="single"/>
        </w:rPr>
      </w:pPr>
      <w:r w:rsidRPr="00183434">
        <w:rPr>
          <w:rFonts w:cs="Arial"/>
          <w:sz w:val="23"/>
          <w:szCs w:val="23"/>
          <w:u w:val="single"/>
        </w:rPr>
        <w:t>Significant Observable Inputs – Level 2</w:t>
      </w:r>
    </w:p>
    <w:p w14:paraId="703FBB41" w14:textId="77777777" w:rsidR="00EE3572" w:rsidRPr="00183434" w:rsidRDefault="00EE3572" w:rsidP="00183434">
      <w:pPr>
        <w:ind w:left="720"/>
        <w:jc w:val="both"/>
        <w:rPr>
          <w:rFonts w:cs="Arial"/>
          <w:sz w:val="23"/>
          <w:szCs w:val="23"/>
        </w:rPr>
      </w:pPr>
    </w:p>
    <w:p w14:paraId="57FFAD90" w14:textId="77777777" w:rsidR="00EE3572" w:rsidRPr="00183434" w:rsidRDefault="00DA7D1F" w:rsidP="00183434">
      <w:pPr>
        <w:ind w:left="720"/>
        <w:jc w:val="both"/>
        <w:rPr>
          <w:rFonts w:cs="Arial"/>
          <w:sz w:val="23"/>
          <w:szCs w:val="23"/>
        </w:rPr>
      </w:pPr>
      <w:r w:rsidRPr="00183434">
        <w:rPr>
          <w:rFonts w:cs="Arial"/>
          <w:sz w:val="23"/>
          <w:szCs w:val="23"/>
        </w:rPr>
        <w:t xml:space="preserve">The Council’s investment portfolio generally sits within an active market where there have been </w:t>
      </w:r>
      <w:proofErr w:type="gramStart"/>
      <w:r w:rsidRPr="00183434">
        <w:rPr>
          <w:rFonts w:cs="Arial"/>
          <w:sz w:val="23"/>
          <w:szCs w:val="23"/>
        </w:rPr>
        <w:t>a number of</w:t>
      </w:r>
      <w:proofErr w:type="gramEnd"/>
      <w:r w:rsidRPr="00183434">
        <w:rPr>
          <w:rFonts w:cs="Arial"/>
          <w:sz w:val="23"/>
          <w:szCs w:val="23"/>
        </w:rPr>
        <w:t xml:space="preserve"> lettings and sales </w:t>
      </w:r>
      <w:proofErr w:type="gramStart"/>
      <w:r w:rsidRPr="00183434">
        <w:rPr>
          <w:rFonts w:cs="Arial"/>
          <w:sz w:val="23"/>
          <w:szCs w:val="23"/>
        </w:rPr>
        <w:t>therefore</w:t>
      </w:r>
      <w:proofErr w:type="gramEnd"/>
      <w:r w:rsidRPr="00183434">
        <w:rPr>
          <w:rFonts w:cs="Arial"/>
          <w:sz w:val="23"/>
          <w:szCs w:val="23"/>
        </w:rPr>
        <w:t xml:space="preserve"> they have been classed as Level 2 in the </w:t>
      </w:r>
      <w:r w:rsidR="00F10BA1" w:rsidRPr="00183434">
        <w:rPr>
          <w:rFonts w:cs="Arial"/>
          <w:sz w:val="23"/>
          <w:szCs w:val="23"/>
        </w:rPr>
        <w:t xml:space="preserve">fair value </w:t>
      </w:r>
      <w:r w:rsidRPr="00183434">
        <w:rPr>
          <w:rFonts w:cs="Arial"/>
          <w:sz w:val="23"/>
          <w:szCs w:val="23"/>
        </w:rPr>
        <w:t xml:space="preserve">hierarchy as inputs are observable. </w:t>
      </w:r>
      <w:r w:rsidR="00EE3572" w:rsidRPr="00183434">
        <w:rPr>
          <w:rFonts w:cs="Arial"/>
          <w:sz w:val="23"/>
          <w:szCs w:val="23"/>
        </w:rPr>
        <w:t xml:space="preserve"> </w:t>
      </w:r>
      <w:r w:rsidRPr="00183434">
        <w:rPr>
          <w:rFonts w:cs="Arial"/>
          <w:sz w:val="23"/>
          <w:szCs w:val="23"/>
        </w:rPr>
        <w:t xml:space="preserve">The fair value takes account of current leases, cash flows and reasonable assumptions regarding future rental income and outgoings. </w:t>
      </w:r>
    </w:p>
    <w:p w14:paraId="06B25E62" w14:textId="77777777" w:rsidR="003E77B0" w:rsidRPr="00183434" w:rsidRDefault="003E77B0" w:rsidP="00183434">
      <w:pPr>
        <w:jc w:val="both"/>
        <w:rPr>
          <w:rFonts w:cs="Arial"/>
          <w:sz w:val="23"/>
          <w:szCs w:val="23"/>
        </w:rPr>
      </w:pPr>
    </w:p>
    <w:p w14:paraId="03DB8CC1" w14:textId="77777777" w:rsidR="00EE3572" w:rsidRPr="00183434" w:rsidRDefault="00EE3572" w:rsidP="00183434">
      <w:pPr>
        <w:ind w:left="720"/>
        <w:jc w:val="both"/>
        <w:rPr>
          <w:rFonts w:cs="Arial"/>
          <w:sz w:val="23"/>
          <w:szCs w:val="23"/>
          <w:u w:val="single"/>
        </w:rPr>
      </w:pPr>
      <w:r w:rsidRPr="00183434">
        <w:rPr>
          <w:rFonts w:cs="Arial"/>
          <w:sz w:val="23"/>
          <w:szCs w:val="23"/>
          <w:u w:val="single"/>
        </w:rPr>
        <w:t>Significant Unobservable Inputs – Level 3</w:t>
      </w:r>
    </w:p>
    <w:p w14:paraId="18B36F9A" w14:textId="77777777" w:rsidR="00B4674B" w:rsidRPr="00183434" w:rsidRDefault="00B4674B" w:rsidP="00183434">
      <w:pPr>
        <w:ind w:left="720"/>
        <w:jc w:val="both"/>
        <w:rPr>
          <w:rFonts w:cs="Arial"/>
          <w:sz w:val="23"/>
          <w:szCs w:val="23"/>
        </w:rPr>
      </w:pPr>
    </w:p>
    <w:p w14:paraId="36CD3638" w14:textId="77777777" w:rsidR="00B4674B" w:rsidRPr="00183434" w:rsidRDefault="00F10BA1" w:rsidP="00183434">
      <w:pPr>
        <w:ind w:left="720"/>
        <w:jc w:val="both"/>
        <w:rPr>
          <w:rFonts w:cs="Arial"/>
          <w:sz w:val="23"/>
          <w:szCs w:val="23"/>
        </w:rPr>
      </w:pPr>
      <w:r w:rsidRPr="00183434">
        <w:rPr>
          <w:rFonts w:cs="Arial"/>
          <w:sz w:val="23"/>
          <w:szCs w:val="23"/>
        </w:rPr>
        <w:t>The Level 3 investment properties</w:t>
      </w:r>
      <w:r w:rsidR="00DA7D1F" w:rsidRPr="00183434">
        <w:rPr>
          <w:rFonts w:cs="Arial"/>
          <w:sz w:val="23"/>
          <w:szCs w:val="23"/>
        </w:rPr>
        <w:t xml:space="preserve"> consist of 4 agricultural holdings</w:t>
      </w:r>
      <w:r w:rsidR="00917919" w:rsidRPr="00183434">
        <w:rPr>
          <w:rFonts w:cs="Arial"/>
          <w:sz w:val="23"/>
          <w:szCs w:val="23"/>
        </w:rPr>
        <w:t xml:space="preserve"> for which fo</w:t>
      </w:r>
      <w:r w:rsidR="007A0668" w:rsidRPr="00183434">
        <w:rPr>
          <w:rFonts w:cs="Arial"/>
          <w:sz w:val="23"/>
          <w:szCs w:val="23"/>
        </w:rPr>
        <w:t>rmal lease documentation is in</w:t>
      </w:r>
      <w:r w:rsidR="00917919" w:rsidRPr="00183434">
        <w:rPr>
          <w:rFonts w:cs="Arial"/>
          <w:sz w:val="23"/>
          <w:szCs w:val="23"/>
        </w:rPr>
        <w:t>complete thereby creating unknowns.</w:t>
      </w:r>
    </w:p>
    <w:p w14:paraId="79A5E2EC" w14:textId="77777777" w:rsidR="00867C78" w:rsidRPr="00183434" w:rsidRDefault="00867C78" w:rsidP="00183434">
      <w:pPr>
        <w:ind w:left="720"/>
        <w:jc w:val="both"/>
        <w:rPr>
          <w:rFonts w:cs="Arial"/>
          <w:sz w:val="23"/>
          <w:szCs w:val="23"/>
        </w:rPr>
      </w:pPr>
    </w:p>
    <w:p w14:paraId="69311F06" w14:textId="77777777" w:rsidR="00257E9C" w:rsidRDefault="00257E9C" w:rsidP="00183434">
      <w:pPr>
        <w:ind w:left="720"/>
        <w:jc w:val="both"/>
        <w:rPr>
          <w:rFonts w:cs="Arial"/>
          <w:sz w:val="23"/>
          <w:szCs w:val="23"/>
          <w:u w:val="single"/>
        </w:rPr>
      </w:pPr>
    </w:p>
    <w:p w14:paraId="777EF749" w14:textId="77777777" w:rsidR="00257E9C" w:rsidRDefault="00257E9C" w:rsidP="00183434">
      <w:pPr>
        <w:ind w:left="720"/>
        <w:jc w:val="both"/>
        <w:rPr>
          <w:rFonts w:cs="Arial"/>
          <w:sz w:val="23"/>
          <w:szCs w:val="23"/>
          <w:u w:val="single"/>
        </w:rPr>
      </w:pPr>
    </w:p>
    <w:p w14:paraId="56CDDDD1" w14:textId="77777777" w:rsidR="00257E9C" w:rsidRDefault="00257E9C" w:rsidP="00183434">
      <w:pPr>
        <w:ind w:left="720"/>
        <w:jc w:val="both"/>
        <w:rPr>
          <w:rFonts w:cs="Arial"/>
          <w:sz w:val="23"/>
          <w:szCs w:val="23"/>
          <w:u w:val="single"/>
        </w:rPr>
      </w:pPr>
    </w:p>
    <w:p w14:paraId="0E2A02FA" w14:textId="77777777" w:rsidR="00257E9C" w:rsidRDefault="00257E9C" w:rsidP="00183434">
      <w:pPr>
        <w:ind w:left="720"/>
        <w:jc w:val="both"/>
        <w:rPr>
          <w:rFonts w:cs="Arial"/>
          <w:sz w:val="23"/>
          <w:szCs w:val="23"/>
          <w:u w:val="single"/>
        </w:rPr>
      </w:pPr>
    </w:p>
    <w:p w14:paraId="0D457D55" w14:textId="77777777" w:rsidR="00257E9C" w:rsidRDefault="00257E9C" w:rsidP="00183434">
      <w:pPr>
        <w:ind w:left="720"/>
        <w:jc w:val="both"/>
        <w:rPr>
          <w:rFonts w:cs="Arial"/>
          <w:sz w:val="23"/>
          <w:szCs w:val="23"/>
          <w:u w:val="single"/>
        </w:rPr>
      </w:pPr>
    </w:p>
    <w:p w14:paraId="33BF6187" w14:textId="77777777" w:rsidR="00257E9C" w:rsidRDefault="00257E9C" w:rsidP="00183434">
      <w:pPr>
        <w:ind w:left="720"/>
        <w:jc w:val="both"/>
        <w:rPr>
          <w:rFonts w:cs="Arial"/>
          <w:sz w:val="23"/>
          <w:szCs w:val="23"/>
          <w:u w:val="single"/>
        </w:rPr>
      </w:pPr>
    </w:p>
    <w:p w14:paraId="07F698A2" w14:textId="3DE5CB91" w:rsidR="00917919" w:rsidRPr="00183434" w:rsidRDefault="00917919" w:rsidP="00183434">
      <w:pPr>
        <w:ind w:left="720"/>
        <w:jc w:val="both"/>
        <w:rPr>
          <w:rFonts w:cs="Arial"/>
          <w:sz w:val="23"/>
          <w:szCs w:val="23"/>
          <w:u w:val="single"/>
        </w:rPr>
      </w:pPr>
      <w:r w:rsidRPr="00183434">
        <w:rPr>
          <w:rFonts w:cs="Arial"/>
          <w:sz w:val="23"/>
          <w:szCs w:val="23"/>
          <w:u w:val="single"/>
        </w:rPr>
        <w:lastRenderedPageBreak/>
        <w:t>Reconciliation of Fair Value Measurements (using significant unobservable inputs) Categorised within Level 3 of the Fair Value Hierarchy</w:t>
      </w:r>
    </w:p>
    <w:p w14:paraId="1A4A3F71" w14:textId="77777777" w:rsidR="004979D1" w:rsidRPr="00183434" w:rsidRDefault="004979D1" w:rsidP="00183434">
      <w:pPr>
        <w:ind w:left="720"/>
        <w:jc w:val="both"/>
        <w:rPr>
          <w:rFonts w:cs="Arial"/>
          <w:sz w:val="23"/>
          <w:szCs w:val="23"/>
          <w:u w:val="single"/>
        </w:rPr>
      </w:pPr>
    </w:p>
    <w:p w14:paraId="540C77B1" w14:textId="28A0ED12" w:rsidR="00992E81" w:rsidRPr="00183434" w:rsidRDefault="00257E9C" w:rsidP="00183434">
      <w:pPr>
        <w:ind w:left="709"/>
        <w:jc w:val="both"/>
        <w:rPr>
          <w:rFonts w:cs="Arial"/>
          <w:sz w:val="23"/>
          <w:szCs w:val="23"/>
        </w:rPr>
      </w:pPr>
      <w:r w:rsidRPr="00183434">
        <w:rPr>
          <w:rFonts w:cs="Arial"/>
          <w:sz w:val="23"/>
          <w:szCs w:val="23"/>
        </w:rPr>
        <w:object w:dxaOrig="9494" w:dyaOrig="2861" w14:anchorId="0EA5B6F6">
          <v:shape id="_x0000_i1071" type="#_x0000_t75" style="width:436.05pt;height:134.8pt" o:ole="">
            <v:imagedata r:id="rId108" o:title=""/>
          </v:shape>
          <o:OLEObject Type="Link" ProgID="Excel.Sheet.12" ShapeID="_x0000_i1071" DrawAspect="Content" r:id="rId109" UpdateMode="Always">
            <o:LinkType>EnhancedMetaFile</o:LinkType>
            <o:LockedField>false</o:LockedField>
            <o:FieldCodes>\* MERGEFORMAT</o:FieldCodes>
          </o:OLEObject>
        </w:object>
      </w:r>
    </w:p>
    <w:p w14:paraId="7D58AAB9" w14:textId="77777777" w:rsidR="007B41A5" w:rsidRPr="00183434" w:rsidRDefault="007B41A5" w:rsidP="00183434">
      <w:pPr>
        <w:ind w:left="709"/>
        <w:jc w:val="both"/>
        <w:rPr>
          <w:rFonts w:cs="Arial"/>
          <w:sz w:val="23"/>
          <w:szCs w:val="23"/>
          <w:highlight w:val="cyan"/>
        </w:rPr>
      </w:pPr>
    </w:p>
    <w:p w14:paraId="4D9A6ADA" w14:textId="75756B29" w:rsidR="002D3B72" w:rsidRPr="00183434" w:rsidRDefault="002D3B72" w:rsidP="00183434">
      <w:pPr>
        <w:ind w:left="720"/>
        <w:jc w:val="both"/>
        <w:rPr>
          <w:rFonts w:cs="Arial"/>
          <w:sz w:val="23"/>
          <w:szCs w:val="23"/>
          <w:u w:val="single"/>
        </w:rPr>
      </w:pPr>
      <w:r w:rsidRPr="00183434">
        <w:rPr>
          <w:rFonts w:cs="Arial"/>
          <w:sz w:val="23"/>
          <w:szCs w:val="23"/>
          <w:u w:val="single"/>
        </w:rPr>
        <w:t xml:space="preserve">Quantitative Information about Fair Value Measurement of Investment Properties using Significant Unobservable Inputs – Level 3 </w:t>
      </w:r>
    </w:p>
    <w:p w14:paraId="3801F98C" w14:textId="77777777" w:rsidR="00B4674B" w:rsidRPr="00183434" w:rsidRDefault="00B4674B" w:rsidP="00183434">
      <w:pPr>
        <w:ind w:left="720"/>
        <w:jc w:val="both"/>
        <w:rPr>
          <w:rFonts w:cs="Arial"/>
          <w:sz w:val="23"/>
          <w:szCs w:val="23"/>
        </w:rPr>
      </w:pPr>
    </w:p>
    <w:p w14:paraId="3ECF4D38" w14:textId="1EA8C257" w:rsidR="002D3B72" w:rsidRPr="00183434" w:rsidRDefault="00D82167" w:rsidP="00183434">
      <w:pPr>
        <w:ind w:left="720"/>
        <w:jc w:val="both"/>
        <w:rPr>
          <w:rFonts w:cs="Arial"/>
          <w:sz w:val="23"/>
          <w:szCs w:val="23"/>
        </w:rPr>
      </w:pPr>
      <w:r w:rsidRPr="00183434">
        <w:rPr>
          <w:rFonts w:cs="Arial"/>
          <w:sz w:val="23"/>
          <w:szCs w:val="23"/>
        </w:rPr>
        <w:object w:dxaOrig="10049" w:dyaOrig="2542" w14:anchorId="227448F7">
          <v:shape id="_x0000_i1072" type="#_x0000_t75" style="width:436.6pt;height:110.6pt" o:ole="">
            <v:imagedata r:id="rId110" o:title=""/>
          </v:shape>
          <o:OLEObject Type="Link" ProgID="Excel.Sheet.12" ShapeID="_x0000_i1072" DrawAspect="Content" r:id="rId111" UpdateMode="Always">
            <o:LinkType>EnhancedMetaFile</o:LinkType>
            <o:LockedField>false</o:LockedField>
            <o:FieldCodes>\* MERGEFORMAT</o:FieldCodes>
          </o:OLEObject>
        </w:object>
      </w:r>
    </w:p>
    <w:p w14:paraId="31D2439F" w14:textId="77777777" w:rsidR="008622AC" w:rsidRPr="00183434" w:rsidRDefault="008622AC" w:rsidP="00183434">
      <w:pPr>
        <w:ind w:left="720"/>
        <w:jc w:val="both"/>
        <w:rPr>
          <w:rFonts w:cs="Arial"/>
          <w:sz w:val="23"/>
          <w:szCs w:val="23"/>
          <w:highlight w:val="cyan"/>
          <w:u w:val="single"/>
        </w:rPr>
      </w:pPr>
    </w:p>
    <w:p w14:paraId="6A790247" w14:textId="77777777" w:rsidR="00B4674B" w:rsidRPr="00183434" w:rsidRDefault="00B4674B" w:rsidP="00183434">
      <w:pPr>
        <w:ind w:left="720"/>
        <w:jc w:val="both"/>
        <w:rPr>
          <w:rFonts w:cs="Arial"/>
          <w:sz w:val="23"/>
          <w:szCs w:val="23"/>
          <w:u w:val="single"/>
        </w:rPr>
      </w:pPr>
      <w:r w:rsidRPr="00183434">
        <w:rPr>
          <w:rFonts w:cs="Arial"/>
          <w:sz w:val="23"/>
          <w:szCs w:val="23"/>
          <w:u w:val="single"/>
        </w:rPr>
        <w:t>Highest and Best Use of Investment Properties</w:t>
      </w:r>
    </w:p>
    <w:p w14:paraId="3F593DA0" w14:textId="77777777" w:rsidR="00B4674B" w:rsidRPr="00183434" w:rsidRDefault="00B4674B" w:rsidP="00183434">
      <w:pPr>
        <w:ind w:left="720"/>
        <w:jc w:val="both"/>
        <w:rPr>
          <w:rFonts w:cs="Arial"/>
          <w:sz w:val="23"/>
          <w:szCs w:val="23"/>
          <w:u w:val="single"/>
        </w:rPr>
      </w:pPr>
    </w:p>
    <w:p w14:paraId="5D9E092D" w14:textId="77777777" w:rsidR="00B4674B" w:rsidRPr="00183434" w:rsidRDefault="00B4674B" w:rsidP="00183434">
      <w:pPr>
        <w:ind w:left="720"/>
        <w:jc w:val="both"/>
        <w:rPr>
          <w:rFonts w:cs="Arial"/>
          <w:sz w:val="23"/>
          <w:szCs w:val="23"/>
        </w:rPr>
      </w:pPr>
      <w:r w:rsidRPr="00183434">
        <w:rPr>
          <w:rFonts w:cs="Arial"/>
          <w:sz w:val="23"/>
          <w:szCs w:val="23"/>
        </w:rPr>
        <w:t>In estimating the fair value of the authority’s investment properties, the highest and best use of the properties is their current use.</w:t>
      </w:r>
    </w:p>
    <w:p w14:paraId="12D2EC53" w14:textId="77777777" w:rsidR="00B4674B" w:rsidRPr="00183434" w:rsidRDefault="00B4674B" w:rsidP="00183434">
      <w:pPr>
        <w:ind w:left="720"/>
        <w:jc w:val="both"/>
        <w:rPr>
          <w:rFonts w:cs="Arial"/>
          <w:sz w:val="23"/>
          <w:szCs w:val="23"/>
        </w:rPr>
      </w:pPr>
    </w:p>
    <w:p w14:paraId="40C0F1FC" w14:textId="3FC38A31" w:rsidR="00B4674B" w:rsidRPr="00183434" w:rsidRDefault="00B4674B" w:rsidP="00183434">
      <w:pPr>
        <w:ind w:firstLine="720"/>
        <w:jc w:val="both"/>
        <w:rPr>
          <w:rFonts w:cs="Arial"/>
          <w:sz w:val="23"/>
          <w:szCs w:val="23"/>
          <w:u w:val="single"/>
        </w:rPr>
      </w:pPr>
      <w:r w:rsidRPr="00183434">
        <w:rPr>
          <w:rFonts w:cs="Arial"/>
          <w:sz w:val="23"/>
          <w:szCs w:val="23"/>
          <w:u w:val="single"/>
        </w:rPr>
        <w:t>Valuation Techniques</w:t>
      </w:r>
    </w:p>
    <w:p w14:paraId="4510357A" w14:textId="77777777" w:rsidR="00B4674B" w:rsidRPr="00183434" w:rsidRDefault="00B4674B" w:rsidP="00183434">
      <w:pPr>
        <w:ind w:left="720"/>
        <w:jc w:val="both"/>
        <w:rPr>
          <w:rFonts w:cs="Arial"/>
          <w:sz w:val="23"/>
          <w:szCs w:val="23"/>
        </w:rPr>
      </w:pPr>
    </w:p>
    <w:p w14:paraId="19E05680" w14:textId="77777777" w:rsidR="00C33C29" w:rsidRPr="00183434" w:rsidRDefault="00B4674B" w:rsidP="00183434">
      <w:pPr>
        <w:ind w:left="720"/>
        <w:jc w:val="both"/>
        <w:rPr>
          <w:rFonts w:cs="Arial"/>
          <w:sz w:val="23"/>
          <w:szCs w:val="23"/>
        </w:rPr>
      </w:pPr>
      <w:r w:rsidRPr="00183434">
        <w:rPr>
          <w:rFonts w:cs="Arial"/>
          <w:sz w:val="23"/>
          <w:szCs w:val="23"/>
        </w:rPr>
        <w:t>There has been no change in the valuation techniques used during the year for investment properties</w:t>
      </w:r>
      <w:r w:rsidR="00896C22" w:rsidRPr="00183434">
        <w:rPr>
          <w:rFonts w:cs="Arial"/>
          <w:sz w:val="23"/>
          <w:szCs w:val="23"/>
        </w:rPr>
        <w:t>.</w:t>
      </w:r>
    </w:p>
    <w:p w14:paraId="4E63236C" w14:textId="77777777" w:rsidR="00C33C29" w:rsidRPr="00183434" w:rsidRDefault="00C33C29" w:rsidP="00183434">
      <w:pPr>
        <w:ind w:left="720"/>
        <w:jc w:val="both"/>
        <w:rPr>
          <w:rFonts w:cs="Arial"/>
          <w:sz w:val="23"/>
          <w:szCs w:val="23"/>
        </w:rPr>
      </w:pPr>
    </w:p>
    <w:p w14:paraId="4C52C58B" w14:textId="77777777" w:rsidR="00C33C29" w:rsidRPr="00183434" w:rsidRDefault="00C33C29" w:rsidP="00183434">
      <w:pPr>
        <w:ind w:left="720"/>
        <w:jc w:val="both"/>
        <w:rPr>
          <w:rFonts w:cs="Arial"/>
          <w:sz w:val="23"/>
          <w:szCs w:val="23"/>
          <w:u w:val="single"/>
        </w:rPr>
      </w:pPr>
      <w:r w:rsidRPr="00183434">
        <w:rPr>
          <w:rFonts w:cs="Arial"/>
          <w:sz w:val="23"/>
          <w:szCs w:val="23"/>
          <w:u w:val="single"/>
        </w:rPr>
        <w:t>Valuation Process for Investment Properties</w:t>
      </w:r>
    </w:p>
    <w:p w14:paraId="1E714123" w14:textId="77777777" w:rsidR="00C33C29" w:rsidRPr="00183434" w:rsidRDefault="00C33C29" w:rsidP="00183434">
      <w:pPr>
        <w:ind w:left="720"/>
        <w:jc w:val="both"/>
        <w:rPr>
          <w:rFonts w:cs="Arial"/>
          <w:sz w:val="23"/>
          <w:szCs w:val="23"/>
        </w:rPr>
      </w:pPr>
    </w:p>
    <w:p w14:paraId="79DC94CF" w14:textId="77777777" w:rsidR="00C33C29" w:rsidRPr="00183434" w:rsidRDefault="00C33C29" w:rsidP="00183434">
      <w:pPr>
        <w:ind w:left="720"/>
        <w:jc w:val="both"/>
        <w:rPr>
          <w:rFonts w:cs="Arial"/>
          <w:sz w:val="23"/>
          <w:szCs w:val="23"/>
        </w:rPr>
      </w:pPr>
      <w:r w:rsidRPr="00183434">
        <w:rPr>
          <w:rFonts w:cs="Arial"/>
          <w:sz w:val="23"/>
          <w:szCs w:val="23"/>
        </w:rPr>
        <w:t xml:space="preserve">The fair value of the authority’s investment property is measured annually at each reporting date. All valuations are carried out by </w:t>
      </w:r>
      <w:r w:rsidR="00A01BC3" w:rsidRPr="00183434">
        <w:rPr>
          <w:rFonts w:cs="Arial"/>
          <w:sz w:val="23"/>
          <w:szCs w:val="23"/>
        </w:rPr>
        <w:t>the Council’s internal valuers</w:t>
      </w:r>
      <w:r w:rsidRPr="00183434">
        <w:rPr>
          <w:rFonts w:cs="Arial"/>
          <w:sz w:val="23"/>
          <w:szCs w:val="23"/>
        </w:rPr>
        <w:t>, in accordance with the Statements of Asset Valuation Practice and Guidance Notes of the Royal Institute of Chartered Surveyors.</w:t>
      </w:r>
    </w:p>
    <w:p w14:paraId="1E45B2C7" w14:textId="77777777" w:rsidR="00EE3572" w:rsidRPr="00183434" w:rsidRDefault="00EE3572" w:rsidP="00183434">
      <w:pPr>
        <w:jc w:val="both"/>
        <w:rPr>
          <w:rFonts w:cs="Arial"/>
          <w:sz w:val="23"/>
          <w:szCs w:val="23"/>
          <w:highlight w:val="cyan"/>
        </w:rPr>
      </w:pPr>
    </w:p>
    <w:p w14:paraId="72E82D38" w14:textId="77777777" w:rsidR="00421DBA" w:rsidRPr="00183434" w:rsidRDefault="00421DBA" w:rsidP="00183434">
      <w:pPr>
        <w:jc w:val="both"/>
        <w:rPr>
          <w:rFonts w:cs="Arial"/>
          <w:sz w:val="23"/>
          <w:szCs w:val="23"/>
          <w:highlight w:val="cyan"/>
        </w:rPr>
      </w:pPr>
    </w:p>
    <w:p w14:paraId="501BAEA2" w14:textId="77777777" w:rsidR="00386757" w:rsidRPr="00183434" w:rsidRDefault="00386757" w:rsidP="00183434">
      <w:pPr>
        <w:jc w:val="both"/>
        <w:rPr>
          <w:rFonts w:cs="Arial"/>
          <w:sz w:val="23"/>
          <w:szCs w:val="23"/>
        </w:rPr>
      </w:pPr>
      <w:r w:rsidRPr="00183434">
        <w:rPr>
          <w:rFonts w:cs="Arial"/>
          <w:b/>
          <w:sz w:val="23"/>
          <w:szCs w:val="23"/>
        </w:rPr>
        <w:t>2</w:t>
      </w:r>
      <w:r w:rsidR="001B2752" w:rsidRPr="00183434">
        <w:rPr>
          <w:rFonts w:cs="Arial"/>
          <w:b/>
          <w:sz w:val="23"/>
          <w:szCs w:val="23"/>
        </w:rPr>
        <w:t>6</w:t>
      </w:r>
      <w:r w:rsidRPr="00183434">
        <w:rPr>
          <w:rFonts w:cs="Arial"/>
          <w:sz w:val="23"/>
          <w:szCs w:val="23"/>
        </w:rPr>
        <w:t>.</w:t>
      </w:r>
      <w:r w:rsidRPr="00183434">
        <w:rPr>
          <w:rFonts w:cs="Arial"/>
          <w:sz w:val="23"/>
          <w:szCs w:val="23"/>
        </w:rPr>
        <w:tab/>
      </w:r>
      <w:r w:rsidRPr="00183434">
        <w:rPr>
          <w:rFonts w:cs="Arial"/>
          <w:b/>
          <w:sz w:val="23"/>
          <w:szCs w:val="23"/>
          <w:u w:val="single"/>
        </w:rPr>
        <w:t>FIXED ASSET VALUATION</w:t>
      </w:r>
    </w:p>
    <w:p w14:paraId="51076F44" w14:textId="77777777" w:rsidR="00386757" w:rsidRPr="00183434" w:rsidRDefault="00386757" w:rsidP="00183434">
      <w:pPr>
        <w:jc w:val="both"/>
        <w:rPr>
          <w:rFonts w:cs="Arial"/>
          <w:sz w:val="23"/>
          <w:szCs w:val="23"/>
        </w:rPr>
      </w:pPr>
    </w:p>
    <w:p w14:paraId="25446B8E" w14:textId="77777777" w:rsidR="00386757" w:rsidRPr="00183434" w:rsidRDefault="00386757" w:rsidP="00183434">
      <w:pPr>
        <w:pStyle w:val="BodyTextIndent3"/>
        <w:jc w:val="both"/>
        <w:rPr>
          <w:rFonts w:cs="Arial"/>
          <w:szCs w:val="23"/>
        </w:rPr>
      </w:pPr>
      <w:r w:rsidRPr="00183434">
        <w:rPr>
          <w:rFonts w:cs="Arial"/>
          <w:szCs w:val="23"/>
        </w:rPr>
        <w:t xml:space="preserve">The authority’s freehold and leasehold properties have been valued by </w:t>
      </w:r>
      <w:r w:rsidR="00A01BC3" w:rsidRPr="00183434">
        <w:rPr>
          <w:rFonts w:cs="Arial"/>
          <w:szCs w:val="23"/>
        </w:rPr>
        <w:t>the council’s internal valuers</w:t>
      </w:r>
      <w:r w:rsidRPr="00183434">
        <w:rPr>
          <w:rFonts w:cs="Arial"/>
          <w:szCs w:val="23"/>
        </w:rPr>
        <w:t>, in accordance with the Statements of Asset Valuation Practice and Guidance Notes of The Royal Institution of Chartered Surveyors.  All assets are re-valued on a rolling programme basis over five years.</w:t>
      </w:r>
    </w:p>
    <w:p w14:paraId="4CDEF6FC" w14:textId="77777777" w:rsidR="00386757" w:rsidRPr="00183434" w:rsidRDefault="00386757" w:rsidP="00183434">
      <w:pPr>
        <w:jc w:val="both"/>
        <w:rPr>
          <w:rFonts w:cs="Arial"/>
          <w:sz w:val="23"/>
          <w:szCs w:val="23"/>
        </w:rPr>
      </w:pPr>
    </w:p>
    <w:p w14:paraId="20B5F791" w14:textId="77777777" w:rsidR="00386757" w:rsidRPr="00183434" w:rsidRDefault="00386757" w:rsidP="00183434">
      <w:pPr>
        <w:ind w:left="720"/>
        <w:jc w:val="both"/>
        <w:rPr>
          <w:rFonts w:cs="Arial"/>
          <w:sz w:val="23"/>
          <w:szCs w:val="23"/>
        </w:rPr>
      </w:pPr>
      <w:r w:rsidRPr="00183434">
        <w:rPr>
          <w:rFonts w:cs="Arial"/>
          <w:sz w:val="23"/>
          <w:szCs w:val="23"/>
        </w:rPr>
        <w:t xml:space="preserve">Plant and machinery </w:t>
      </w:r>
      <w:proofErr w:type="gramStart"/>
      <w:r w:rsidRPr="00183434">
        <w:rPr>
          <w:rFonts w:cs="Arial"/>
          <w:sz w:val="23"/>
          <w:szCs w:val="23"/>
        </w:rPr>
        <w:t>includes</w:t>
      </w:r>
      <w:proofErr w:type="gramEnd"/>
      <w:r w:rsidRPr="00183434">
        <w:rPr>
          <w:rFonts w:cs="Arial"/>
          <w:sz w:val="23"/>
          <w:szCs w:val="23"/>
        </w:rPr>
        <w:t xml:space="preserve"> such items that are not a fixture or fitting to a building.</w:t>
      </w:r>
    </w:p>
    <w:p w14:paraId="7FE73D3B" w14:textId="77777777" w:rsidR="00386757" w:rsidRPr="00183434" w:rsidRDefault="00386757" w:rsidP="00183434">
      <w:pPr>
        <w:jc w:val="both"/>
        <w:rPr>
          <w:rFonts w:cs="Arial"/>
          <w:sz w:val="23"/>
          <w:szCs w:val="23"/>
        </w:rPr>
      </w:pPr>
    </w:p>
    <w:p w14:paraId="6524EC2E" w14:textId="77777777" w:rsidR="00386757" w:rsidRPr="00183434" w:rsidRDefault="00386757" w:rsidP="00183434">
      <w:pPr>
        <w:ind w:left="720"/>
        <w:jc w:val="both"/>
        <w:rPr>
          <w:rFonts w:cs="Arial"/>
          <w:sz w:val="23"/>
          <w:szCs w:val="23"/>
        </w:rPr>
      </w:pPr>
      <w:r w:rsidRPr="00183434">
        <w:rPr>
          <w:rFonts w:cs="Arial"/>
          <w:sz w:val="23"/>
          <w:szCs w:val="23"/>
        </w:rPr>
        <w:lastRenderedPageBreak/>
        <w:t xml:space="preserve">Properties regarded by the authority as operational were valued </w:t>
      </w:r>
      <w:proofErr w:type="gramStart"/>
      <w:r w:rsidRPr="00183434">
        <w:rPr>
          <w:rFonts w:cs="Arial"/>
          <w:sz w:val="23"/>
          <w:szCs w:val="23"/>
        </w:rPr>
        <w:t>on the basis of</w:t>
      </w:r>
      <w:proofErr w:type="gramEnd"/>
      <w:r w:rsidRPr="00183434">
        <w:rPr>
          <w:rFonts w:cs="Arial"/>
          <w:sz w:val="23"/>
          <w:szCs w:val="23"/>
        </w:rPr>
        <w:t xml:space="preserve"> existing use value or, where this could not be assessed because there was no </w:t>
      </w:r>
      <w:proofErr w:type="gramStart"/>
      <w:r w:rsidRPr="00183434">
        <w:rPr>
          <w:rFonts w:cs="Arial"/>
          <w:sz w:val="23"/>
          <w:szCs w:val="23"/>
        </w:rPr>
        <w:t>market based</w:t>
      </w:r>
      <w:proofErr w:type="gramEnd"/>
      <w:r w:rsidRPr="00183434">
        <w:rPr>
          <w:rFonts w:cs="Arial"/>
          <w:sz w:val="23"/>
          <w:szCs w:val="23"/>
        </w:rPr>
        <w:t xml:space="preserve"> evidence for the subject asset, the depreciated replacement cost.</w:t>
      </w:r>
    </w:p>
    <w:p w14:paraId="54858257" w14:textId="77777777" w:rsidR="00386757" w:rsidRPr="00183434" w:rsidRDefault="00386757" w:rsidP="00183434">
      <w:pPr>
        <w:jc w:val="both"/>
        <w:rPr>
          <w:rFonts w:cs="Arial"/>
          <w:sz w:val="23"/>
          <w:szCs w:val="23"/>
        </w:rPr>
      </w:pPr>
    </w:p>
    <w:p w14:paraId="20E63772" w14:textId="77777777" w:rsidR="00386757" w:rsidRPr="00183434" w:rsidRDefault="00386757" w:rsidP="00183434">
      <w:pPr>
        <w:tabs>
          <w:tab w:val="num" w:pos="0"/>
        </w:tabs>
        <w:ind w:left="720"/>
        <w:jc w:val="both"/>
        <w:rPr>
          <w:rFonts w:cs="Arial"/>
          <w:sz w:val="23"/>
          <w:szCs w:val="23"/>
        </w:rPr>
      </w:pPr>
      <w:r w:rsidRPr="00183434">
        <w:rPr>
          <w:rFonts w:cs="Arial"/>
          <w:sz w:val="23"/>
          <w:szCs w:val="23"/>
        </w:rPr>
        <w:t>Infrastructure, community assets and assets under construction are included in the balance sheet at historical cost, net of depreciation.</w:t>
      </w:r>
    </w:p>
    <w:p w14:paraId="3AE9E336" w14:textId="77777777" w:rsidR="00386757" w:rsidRPr="00183434" w:rsidRDefault="00386757" w:rsidP="00183434">
      <w:pPr>
        <w:jc w:val="both"/>
        <w:rPr>
          <w:rFonts w:cs="Arial"/>
          <w:sz w:val="23"/>
          <w:szCs w:val="23"/>
        </w:rPr>
      </w:pPr>
    </w:p>
    <w:p w14:paraId="39BE5D71" w14:textId="49768C7E" w:rsidR="00386757" w:rsidRPr="00183434" w:rsidRDefault="0076190A" w:rsidP="00183434">
      <w:pPr>
        <w:ind w:left="720"/>
        <w:jc w:val="both"/>
        <w:rPr>
          <w:rFonts w:cs="Arial"/>
          <w:sz w:val="23"/>
          <w:szCs w:val="23"/>
        </w:rPr>
      </w:pPr>
      <w:r w:rsidRPr="00183434">
        <w:rPr>
          <w:rFonts w:cs="Arial"/>
          <w:sz w:val="23"/>
          <w:szCs w:val="23"/>
        </w:rPr>
        <w:t xml:space="preserve">Except for those dwellings which the Authority leases out to other providers of social housing, the </w:t>
      </w:r>
      <w:r w:rsidR="00386757" w:rsidRPr="00183434">
        <w:rPr>
          <w:rFonts w:cs="Arial"/>
          <w:sz w:val="23"/>
          <w:szCs w:val="23"/>
        </w:rPr>
        <w:t xml:space="preserve">stock of council dwellings was re-valued as </w:t>
      </w:r>
      <w:proofErr w:type="gramStart"/>
      <w:r w:rsidR="00386757" w:rsidRPr="00183434">
        <w:rPr>
          <w:rFonts w:cs="Arial"/>
          <w:sz w:val="23"/>
          <w:szCs w:val="23"/>
        </w:rPr>
        <w:t>at</w:t>
      </w:r>
      <w:proofErr w:type="gramEnd"/>
      <w:r w:rsidR="00386757" w:rsidRPr="00183434">
        <w:rPr>
          <w:rFonts w:cs="Arial"/>
          <w:sz w:val="23"/>
          <w:szCs w:val="23"/>
        </w:rPr>
        <w:t xml:space="preserve"> 31</w:t>
      </w:r>
      <w:r w:rsidR="00386757" w:rsidRPr="00183434">
        <w:rPr>
          <w:rFonts w:cs="Arial"/>
          <w:sz w:val="23"/>
          <w:szCs w:val="23"/>
          <w:vertAlign w:val="superscript"/>
        </w:rPr>
        <w:t>st</w:t>
      </w:r>
      <w:r w:rsidR="00142B4B" w:rsidRPr="00183434">
        <w:rPr>
          <w:rFonts w:cs="Arial"/>
          <w:sz w:val="23"/>
          <w:szCs w:val="23"/>
        </w:rPr>
        <w:t xml:space="preserve"> Marc</w:t>
      </w:r>
      <w:r w:rsidR="009A2C03" w:rsidRPr="00183434">
        <w:rPr>
          <w:rFonts w:cs="Arial"/>
          <w:sz w:val="23"/>
          <w:szCs w:val="23"/>
        </w:rPr>
        <w:t>h 20</w:t>
      </w:r>
      <w:r w:rsidR="00396733" w:rsidRPr="00183434">
        <w:rPr>
          <w:rFonts w:cs="Arial"/>
          <w:sz w:val="23"/>
          <w:szCs w:val="23"/>
        </w:rPr>
        <w:t>2</w:t>
      </w:r>
      <w:r w:rsidR="00E03CBB" w:rsidRPr="00183434">
        <w:rPr>
          <w:rFonts w:cs="Arial"/>
          <w:sz w:val="23"/>
          <w:szCs w:val="23"/>
        </w:rPr>
        <w:t>6</w:t>
      </w:r>
      <w:r w:rsidR="00386757" w:rsidRPr="00183434">
        <w:rPr>
          <w:rFonts w:cs="Arial"/>
          <w:sz w:val="23"/>
          <w:szCs w:val="23"/>
        </w:rPr>
        <w:t xml:space="preserve"> in accordance with Government guidelines.  The basis of the valuation for the bulk of the housing stock within the HRA is Existing Use Value for Social Housing (see </w:t>
      </w:r>
      <w:r w:rsidR="00867C78" w:rsidRPr="00183434">
        <w:rPr>
          <w:rFonts w:cs="Arial"/>
          <w:sz w:val="23"/>
          <w:szCs w:val="23"/>
        </w:rPr>
        <w:t xml:space="preserve">HRA </w:t>
      </w:r>
      <w:r w:rsidR="00386757" w:rsidRPr="00183434">
        <w:rPr>
          <w:rFonts w:cs="Arial"/>
          <w:sz w:val="23"/>
          <w:szCs w:val="23"/>
        </w:rPr>
        <w:t xml:space="preserve">note </w:t>
      </w:r>
      <w:r w:rsidR="00EA243A" w:rsidRPr="00183434">
        <w:rPr>
          <w:rFonts w:cs="Arial"/>
          <w:sz w:val="23"/>
          <w:szCs w:val="23"/>
        </w:rPr>
        <w:t>4</w:t>
      </w:r>
      <w:r w:rsidR="00386757" w:rsidRPr="00183434">
        <w:rPr>
          <w:rFonts w:cs="Arial"/>
          <w:sz w:val="23"/>
          <w:szCs w:val="23"/>
        </w:rPr>
        <w:t>).</w:t>
      </w:r>
    </w:p>
    <w:p w14:paraId="57139530" w14:textId="77777777" w:rsidR="00386757" w:rsidRPr="00183434" w:rsidRDefault="00386757" w:rsidP="00183434">
      <w:pPr>
        <w:jc w:val="both"/>
        <w:rPr>
          <w:rFonts w:cs="Arial"/>
          <w:sz w:val="23"/>
          <w:szCs w:val="23"/>
        </w:rPr>
      </w:pPr>
    </w:p>
    <w:p w14:paraId="254F23D0" w14:textId="77777777" w:rsidR="00386757" w:rsidRPr="00183434" w:rsidRDefault="00386757" w:rsidP="00183434">
      <w:pPr>
        <w:ind w:left="720"/>
        <w:jc w:val="both"/>
        <w:rPr>
          <w:rFonts w:cs="Arial"/>
          <w:sz w:val="23"/>
          <w:szCs w:val="23"/>
        </w:rPr>
      </w:pPr>
      <w:r w:rsidRPr="00183434">
        <w:rPr>
          <w:rFonts w:cs="Arial"/>
          <w:sz w:val="23"/>
          <w:szCs w:val="23"/>
        </w:rPr>
        <w:t>The statement below shows the progress of the Council's rolling programme for the revaluation of fixed assets.  Where the valuations have not been updated in recent years the authority</w:t>
      </w:r>
      <w:r w:rsidR="002B5CA2" w:rsidRPr="00183434">
        <w:rPr>
          <w:rFonts w:cs="Arial"/>
          <w:sz w:val="23"/>
          <w:szCs w:val="23"/>
        </w:rPr>
        <w:t xml:space="preserve"> has assessed that there has been no</w:t>
      </w:r>
      <w:r w:rsidRPr="00183434">
        <w:rPr>
          <w:rFonts w:cs="Arial"/>
          <w:sz w:val="23"/>
          <w:szCs w:val="23"/>
        </w:rPr>
        <w:t xml:space="preserve"> material change in value.  The basis of the valuations is set out in Note </w:t>
      </w:r>
      <w:r w:rsidR="00116ABD" w:rsidRPr="00183434">
        <w:rPr>
          <w:rFonts w:cs="Arial"/>
          <w:sz w:val="23"/>
          <w:szCs w:val="23"/>
        </w:rPr>
        <w:t>1.14</w:t>
      </w:r>
      <w:r w:rsidRPr="00183434">
        <w:rPr>
          <w:rFonts w:cs="Arial"/>
          <w:sz w:val="23"/>
          <w:szCs w:val="23"/>
        </w:rPr>
        <w:t xml:space="preserve"> of the Summary of Significant Accounting Policies.</w:t>
      </w:r>
    </w:p>
    <w:p w14:paraId="681DA014" w14:textId="77777777" w:rsidR="00D575CB" w:rsidRPr="00183434" w:rsidRDefault="00D575CB" w:rsidP="00183434">
      <w:pPr>
        <w:jc w:val="both"/>
        <w:rPr>
          <w:rFonts w:cs="Arial"/>
          <w:sz w:val="23"/>
          <w:szCs w:val="23"/>
        </w:rPr>
      </w:pPr>
    </w:p>
    <w:p w14:paraId="7214457B" w14:textId="07695877" w:rsidR="00F67F83" w:rsidRPr="00183434" w:rsidRDefault="00D57F11" w:rsidP="00D57F11">
      <w:pPr>
        <w:ind w:firstLine="720"/>
        <w:jc w:val="both"/>
        <w:rPr>
          <w:rFonts w:cs="Arial"/>
          <w:sz w:val="23"/>
          <w:szCs w:val="23"/>
        </w:rPr>
      </w:pPr>
      <w:r w:rsidRPr="00183434">
        <w:rPr>
          <w:rFonts w:cs="Arial"/>
          <w:sz w:val="23"/>
          <w:szCs w:val="23"/>
        </w:rPr>
        <w:object w:dxaOrig="11498" w:dyaOrig="4318" w14:anchorId="176F9617">
          <v:shape id="_x0000_i1073" type="#_x0000_t75" style="width:438.9pt;height:164.75pt" o:ole="">
            <v:imagedata r:id="rId112" o:title=""/>
          </v:shape>
          <o:OLEObject Type="Link" ProgID="Excel.Sheet.12" ShapeID="_x0000_i1073" DrawAspect="Content" r:id="rId113" UpdateMode="Always">
            <o:LinkType>EnhancedMetaFile</o:LinkType>
            <o:LockedField>false</o:LockedField>
            <o:FieldCodes>\* MERGEFORMAT</o:FieldCodes>
          </o:OLEObject>
        </w:object>
      </w:r>
    </w:p>
    <w:p w14:paraId="213C767F" w14:textId="77777777" w:rsidR="00F67F83" w:rsidRPr="00183434" w:rsidRDefault="00F67F83" w:rsidP="00183434">
      <w:pPr>
        <w:jc w:val="both"/>
        <w:rPr>
          <w:rFonts w:cs="Arial"/>
          <w:sz w:val="23"/>
          <w:szCs w:val="23"/>
        </w:rPr>
      </w:pPr>
    </w:p>
    <w:p w14:paraId="7328F501" w14:textId="3AFE29DE" w:rsidR="00F67F83" w:rsidRPr="00183434" w:rsidRDefault="00D57F11" w:rsidP="00D57F11">
      <w:pPr>
        <w:ind w:firstLine="720"/>
        <w:jc w:val="both"/>
        <w:rPr>
          <w:rFonts w:cs="Arial"/>
          <w:sz w:val="23"/>
          <w:szCs w:val="23"/>
          <w:highlight w:val="cyan"/>
        </w:rPr>
      </w:pPr>
      <w:r w:rsidRPr="00183434">
        <w:rPr>
          <w:rFonts w:cs="Arial"/>
          <w:sz w:val="23"/>
          <w:szCs w:val="23"/>
        </w:rPr>
        <w:object w:dxaOrig="11498" w:dyaOrig="4076" w14:anchorId="4E8AB7DB">
          <v:shape id="_x0000_i1074" type="#_x0000_t75" style="width:437.75pt;height:154.95pt" o:ole="">
            <v:imagedata r:id="rId114" o:title=""/>
          </v:shape>
          <o:OLEObject Type="Link" ProgID="Excel.Sheet.12" ShapeID="_x0000_i1074" DrawAspect="Content" r:id="rId115" UpdateMode="Always">
            <o:LinkType>EnhancedMetaFile</o:LinkType>
            <o:LockedField>false</o:LockedField>
            <o:FieldCodes>\* MERGEFORMAT</o:FieldCodes>
          </o:OLEObject>
        </w:object>
      </w:r>
    </w:p>
    <w:p w14:paraId="528BBA65" w14:textId="77777777" w:rsidR="00F67F83" w:rsidRPr="00183434" w:rsidRDefault="00F67F83" w:rsidP="00183434">
      <w:pPr>
        <w:jc w:val="both"/>
        <w:rPr>
          <w:rFonts w:cs="Arial"/>
          <w:sz w:val="23"/>
          <w:szCs w:val="23"/>
          <w:highlight w:val="cyan"/>
        </w:rPr>
      </w:pPr>
    </w:p>
    <w:p w14:paraId="5A4D627B" w14:textId="77777777" w:rsidR="00F67F83" w:rsidRPr="00183434" w:rsidRDefault="00F67F83" w:rsidP="00183434">
      <w:pPr>
        <w:jc w:val="both"/>
        <w:rPr>
          <w:rFonts w:cs="Arial"/>
          <w:sz w:val="23"/>
          <w:szCs w:val="23"/>
          <w:highlight w:val="cyan"/>
        </w:rPr>
      </w:pPr>
    </w:p>
    <w:p w14:paraId="364A8E4F" w14:textId="77777777" w:rsidR="00386757" w:rsidRPr="00183434" w:rsidRDefault="00176F40" w:rsidP="00183434">
      <w:pPr>
        <w:jc w:val="both"/>
        <w:rPr>
          <w:rFonts w:cs="Arial"/>
          <w:b/>
          <w:sz w:val="23"/>
          <w:szCs w:val="23"/>
        </w:rPr>
      </w:pPr>
      <w:r w:rsidRPr="00183434">
        <w:rPr>
          <w:rFonts w:cs="Arial"/>
          <w:b/>
          <w:sz w:val="23"/>
          <w:szCs w:val="23"/>
        </w:rPr>
        <w:t>2</w:t>
      </w:r>
      <w:r w:rsidR="001B2752" w:rsidRPr="00183434">
        <w:rPr>
          <w:rFonts w:cs="Arial"/>
          <w:b/>
          <w:sz w:val="23"/>
          <w:szCs w:val="23"/>
        </w:rPr>
        <w:t>7</w:t>
      </w:r>
      <w:r w:rsidR="00386757" w:rsidRPr="00183434">
        <w:rPr>
          <w:rFonts w:cs="Arial"/>
          <w:sz w:val="23"/>
          <w:szCs w:val="23"/>
        </w:rPr>
        <w:t>.</w:t>
      </w:r>
      <w:r w:rsidR="00386757" w:rsidRPr="00183434">
        <w:rPr>
          <w:rFonts w:cs="Arial"/>
          <w:b/>
          <w:sz w:val="23"/>
          <w:szCs w:val="23"/>
        </w:rPr>
        <w:t xml:space="preserve">      </w:t>
      </w:r>
      <w:r w:rsidR="00386757" w:rsidRPr="00183434">
        <w:rPr>
          <w:rFonts w:cs="Arial"/>
          <w:b/>
          <w:sz w:val="23"/>
          <w:szCs w:val="23"/>
          <w:u w:val="single"/>
        </w:rPr>
        <w:t>DEPRECIATION</w:t>
      </w:r>
    </w:p>
    <w:p w14:paraId="654239B9" w14:textId="77777777" w:rsidR="00386757" w:rsidRPr="00183434" w:rsidRDefault="00386757" w:rsidP="00183434">
      <w:pPr>
        <w:jc w:val="both"/>
        <w:rPr>
          <w:rFonts w:cs="Arial"/>
          <w:sz w:val="23"/>
          <w:szCs w:val="23"/>
        </w:rPr>
      </w:pPr>
    </w:p>
    <w:p w14:paraId="389586A2" w14:textId="61D6D0AE" w:rsidR="00257E9C" w:rsidRDefault="00386757" w:rsidP="00D57F11">
      <w:pPr>
        <w:ind w:left="720"/>
        <w:jc w:val="both"/>
        <w:rPr>
          <w:rFonts w:cs="Arial"/>
          <w:sz w:val="23"/>
          <w:szCs w:val="23"/>
        </w:rPr>
      </w:pPr>
      <w:r w:rsidRPr="00183434">
        <w:rPr>
          <w:rFonts w:cs="Arial"/>
          <w:sz w:val="23"/>
          <w:szCs w:val="23"/>
        </w:rPr>
        <w:t xml:space="preserve">The treatment of depreciation is described in Note </w:t>
      </w:r>
      <w:r w:rsidR="005A2CC9" w:rsidRPr="00183434">
        <w:rPr>
          <w:rFonts w:cs="Arial"/>
          <w:sz w:val="23"/>
          <w:szCs w:val="23"/>
        </w:rPr>
        <w:t>1.15</w:t>
      </w:r>
      <w:r w:rsidRPr="00183434">
        <w:rPr>
          <w:rFonts w:cs="Arial"/>
          <w:sz w:val="23"/>
          <w:szCs w:val="23"/>
        </w:rPr>
        <w:t xml:space="preserve"> of the Summary of Significant Accounting Policies.  </w:t>
      </w:r>
    </w:p>
    <w:p w14:paraId="5DA1F374" w14:textId="77777777" w:rsidR="00D57F11" w:rsidRPr="00D57F11" w:rsidRDefault="00D57F11" w:rsidP="00D57F11">
      <w:pPr>
        <w:ind w:left="720"/>
        <w:jc w:val="both"/>
        <w:rPr>
          <w:rFonts w:cs="Arial"/>
          <w:sz w:val="23"/>
          <w:szCs w:val="23"/>
        </w:rPr>
      </w:pPr>
    </w:p>
    <w:p w14:paraId="0EA18F58" w14:textId="5DDB13DA" w:rsidR="00386757" w:rsidRPr="00183434" w:rsidRDefault="00176F40" w:rsidP="00183434">
      <w:pPr>
        <w:jc w:val="both"/>
        <w:rPr>
          <w:rFonts w:cs="Arial"/>
          <w:b/>
          <w:sz w:val="23"/>
          <w:szCs w:val="23"/>
        </w:rPr>
      </w:pPr>
      <w:r w:rsidRPr="00183434">
        <w:rPr>
          <w:rFonts w:cs="Arial"/>
          <w:b/>
          <w:sz w:val="23"/>
          <w:szCs w:val="23"/>
        </w:rPr>
        <w:t>2</w:t>
      </w:r>
      <w:r w:rsidR="001B2752" w:rsidRPr="00183434">
        <w:rPr>
          <w:rFonts w:cs="Arial"/>
          <w:b/>
          <w:sz w:val="23"/>
          <w:szCs w:val="23"/>
        </w:rPr>
        <w:t>8</w:t>
      </w:r>
      <w:r w:rsidR="00386757" w:rsidRPr="00183434">
        <w:rPr>
          <w:rFonts w:cs="Arial"/>
          <w:sz w:val="23"/>
          <w:szCs w:val="23"/>
        </w:rPr>
        <w:t xml:space="preserve">. </w:t>
      </w:r>
      <w:r w:rsidR="00386757" w:rsidRPr="00183434">
        <w:rPr>
          <w:rFonts w:cs="Arial"/>
          <w:sz w:val="23"/>
          <w:szCs w:val="23"/>
        </w:rPr>
        <w:tab/>
      </w:r>
      <w:r w:rsidR="00386757" w:rsidRPr="00183434">
        <w:rPr>
          <w:rFonts w:cs="Arial"/>
          <w:b/>
          <w:sz w:val="23"/>
          <w:szCs w:val="23"/>
          <w:u w:val="single"/>
        </w:rPr>
        <w:t>IMPAIRMENT LOSSES</w:t>
      </w:r>
    </w:p>
    <w:p w14:paraId="6704C9B4" w14:textId="77777777" w:rsidR="00386757" w:rsidRPr="00183434" w:rsidRDefault="00386757" w:rsidP="00183434">
      <w:pPr>
        <w:jc w:val="both"/>
        <w:rPr>
          <w:rFonts w:cs="Arial"/>
          <w:sz w:val="23"/>
          <w:szCs w:val="23"/>
        </w:rPr>
      </w:pPr>
    </w:p>
    <w:p w14:paraId="3DBAFB12" w14:textId="04770C46" w:rsidR="00AA233F" w:rsidRPr="00183434" w:rsidRDefault="00AA233F" w:rsidP="00183434">
      <w:pPr>
        <w:ind w:left="720"/>
        <w:jc w:val="both"/>
        <w:rPr>
          <w:rFonts w:cs="Arial"/>
          <w:sz w:val="23"/>
          <w:szCs w:val="23"/>
        </w:rPr>
      </w:pPr>
      <w:r w:rsidRPr="00183434">
        <w:rPr>
          <w:rFonts w:cs="Arial"/>
          <w:sz w:val="23"/>
          <w:szCs w:val="23"/>
        </w:rPr>
        <w:t>No impairment losses were recognised in either Surplus or Deficit on the Provision of Services or in Other Comprehensive Income &amp; Expenditure during 20</w:t>
      </w:r>
      <w:r w:rsidR="00DC2746" w:rsidRPr="00183434">
        <w:rPr>
          <w:rFonts w:cs="Arial"/>
          <w:sz w:val="23"/>
          <w:szCs w:val="23"/>
        </w:rPr>
        <w:t>2</w:t>
      </w:r>
      <w:r w:rsidR="00D67660" w:rsidRPr="00183434">
        <w:rPr>
          <w:rFonts w:cs="Arial"/>
          <w:sz w:val="23"/>
          <w:szCs w:val="23"/>
        </w:rPr>
        <w:t>5</w:t>
      </w:r>
      <w:r w:rsidRPr="00183434">
        <w:rPr>
          <w:rFonts w:cs="Arial"/>
          <w:sz w:val="23"/>
          <w:szCs w:val="23"/>
        </w:rPr>
        <w:t>/2</w:t>
      </w:r>
      <w:r w:rsidR="00D67660" w:rsidRPr="00183434">
        <w:rPr>
          <w:rFonts w:cs="Arial"/>
          <w:sz w:val="23"/>
          <w:szCs w:val="23"/>
        </w:rPr>
        <w:t>6</w:t>
      </w:r>
      <w:r w:rsidRPr="00183434">
        <w:rPr>
          <w:rFonts w:cs="Arial"/>
          <w:sz w:val="23"/>
          <w:szCs w:val="23"/>
        </w:rPr>
        <w:t>.</w:t>
      </w:r>
    </w:p>
    <w:p w14:paraId="6E1A1DD4" w14:textId="77777777" w:rsidR="00291DE5" w:rsidRPr="00183434" w:rsidRDefault="00291DE5" w:rsidP="00183434">
      <w:pPr>
        <w:tabs>
          <w:tab w:val="left" w:pos="1307"/>
        </w:tabs>
        <w:jc w:val="both"/>
        <w:rPr>
          <w:rFonts w:cs="Arial"/>
          <w:sz w:val="23"/>
          <w:szCs w:val="23"/>
        </w:rPr>
      </w:pPr>
    </w:p>
    <w:p w14:paraId="7AF7387C" w14:textId="77777777" w:rsidR="00386757" w:rsidRPr="00183434" w:rsidRDefault="001B2752" w:rsidP="00183434">
      <w:pPr>
        <w:jc w:val="both"/>
        <w:rPr>
          <w:rFonts w:cs="Arial"/>
          <w:b/>
          <w:sz w:val="23"/>
          <w:szCs w:val="23"/>
          <w:u w:val="single"/>
        </w:rPr>
      </w:pPr>
      <w:r w:rsidRPr="00183434">
        <w:rPr>
          <w:rFonts w:cs="Arial"/>
          <w:b/>
          <w:bCs/>
          <w:sz w:val="23"/>
          <w:szCs w:val="23"/>
        </w:rPr>
        <w:t>29</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 xml:space="preserve">LEASES </w:t>
      </w:r>
    </w:p>
    <w:p w14:paraId="793EF198" w14:textId="77777777" w:rsidR="00386757" w:rsidRPr="00183434" w:rsidRDefault="00386757" w:rsidP="00183434">
      <w:pPr>
        <w:jc w:val="both"/>
        <w:rPr>
          <w:rFonts w:cs="Arial"/>
          <w:b/>
          <w:sz w:val="23"/>
          <w:szCs w:val="23"/>
          <w:u w:val="single"/>
        </w:rPr>
      </w:pPr>
    </w:p>
    <w:p w14:paraId="7EC73A7E" w14:textId="77777777" w:rsidR="00386757" w:rsidRPr="00183434" w:rsidRDefault="00386757" w:rsidP="00183434">
      <w:pPr>
        <w:jc w:val="both"/>
        <w:rPr>
          <w:rFonts w:cs="Arial"/>
          <w:sz w:val="23"/>
          <w:szCs w:val="23"/>
          <w:u w:val="single"/>
        </w:rPr>
      </w:pPr>
      <w:r w:rsidRPr="00183434">
        <w:rPr>
          <w:rFonts w:cs="Arial"/>
          <w:sz w:val="23"/>
          <w:szCs w:val="23"/>
        </w:rPr>
        <w:tab/>
      </w:r>
      <w:r w:rsidRPr="00183434">
        <w:rPr>
          <w:rFonts w:cs="Arial"/>
          <w:sz w:val="23"/>
          <w:szCs w:val="23"/>
          <w:u w:val="single"/>
        </w:rPr>
        <w:t>Authority as Lessee</w:t>
      </w:r>
    </w:p>
    <w:p w14:paraId="3C1BF1BA" w14:textId="77777777" w:rsidR="00386757" w:rsidRPr="00183434" w:rsidRDefault="00386757" w:rsidP="00183434">
      <w:pPr>
        <w:jc w:val="both"/>
        <w:rPr>
          <w:rFonts w:cs="Arial"/>
          <w:sz w:val="23"/>
          <w:szCs w:val="23"/>
          <w:u w:val="single"/>
        </w:rPr>
      </w:pPr>
    </w:p>
    <w:p w14:paraId="17155373" w14:textId="77777777" w:rsidR="00386757" w:rsidRPr="00183434" w:rsidRDefault="00386757" w:rsidP="00183434">
      <w:pPr>
        <w:jc w:val="both"/>
        <w:rPr>
          <w:rFonts w:cs="Arial"/>
          <w:sz w:val="23"/>
          <w:szCs w:val="23"/>
          <w:u w:val="single"/>
        </w:rPr>
      </w:pPr>
      <w:r w:rsidRPr="00183434">
        <w:rPr>
          <w:rFonts w:cs="Arial"/>
          <w:sz w:val="23"/>
          <w:szCs w:val="23"/>
        </w:rPr>
        <w:tab/>
      </w:r>
      <w:r w:rsidRPr="00183434">
        <w:rPr>
          <w:rFonts w:cs="Arial"/>
          <w:sz w:val="23"/>
          <w:szCs w:val="23"/>
          <w:u w:val="single"/>
        </w:rPr>
        <w:t>Finance Leases</w:t>
      </w:r>
    </w:p>
    <w:p w14:paraId="282F2551" w14:textId="77777777" w:rsidR="00386757" w:rsidRPr="00183434" w:rsidRDefault="00386757" w:rsidP="00183434">
      <w:pPr>
        <w:jc w:val="both"/>
        <w:rPr>
          <w:rFonts w:cs="Arial"/>
          <w:sz w:val="23"/>
          <w:szCs w:val="23"/>
        </w:rPr>
      </w:pPr>
    </w:p>
    <w:p w14:paraId="33B7534B" w14:textId="77777777" w:rsidR="00386757" w:rsidRPr="00183434" w:rsidRDefault="00386757" w:rsidP="00183434">
      <w:pPr>
        <w:ind w:firstLine="720"/>
        <w:jc w:val="both"/>
        <w:rPr>
          <w:rFonts w:cs="Arial"/>
          <w:sz w:val="23"/>
          <w:szCs w:val="23"/>
          <w:highlight w:val="cyan"/>
        </w:rPr>
      </w:pPr>
      <w:r w:rsidRPr="00183434">
        <w:rPr>
          <w:rFonts w:cs="Arial"/>
          <w:sz w:val="23"/>
          <w:szCs w:val="23"/>
        </w:rPr>
        <w:t>The Authority has no finance leases.</w:t>
      </w:r>
    </w:p>
    <w:p w14:paraId="1B0326EF" w14:textId="77777777" w:rsidR="00811AA8" w:rsidRPr="00183434" w:rsidRDefault="00811AA8" w:rsidP="00183434">
      <w:pPr>
        <w:ind w:firstLine="720"/>
        <w:jc w:val="both"/>
        <w:rPr>
          <w:rFonts w:cs="Arial"/>
          <w:sz w:val="23"/>
          <w:szCs w:val="23"/>
          <w:highlight w:val="cyan"/>
        </w:rPr>
      </w:pPr>
    </w:p>
    <w:p w14:paraId="78E93161" w14:textId="661E81BD" w:rsidR="0079139F" w:rsidRPr="00183434" w:rsidRDefault="0079139F" w:rsidP="00183434">
      <w:pPr>
        <w:jc w:val="both"/>
        <w:rPr>
          <w:rFonts w:cs="Arial"/>
          <w:sz w:val="23"/>
          <w:szCs w:val="23"/>
          <w:highlight w:val="cyan"/>
          <w:u w:val="single"/>
        </w:rPr>
      </w:pPr>
    </w:p>
    <w:p w14:paraId="62F96BA0" w14:textId="2B445E7A" w:rsidR="00386757" w:rsidRPr="00183434" w:rsidRDefault="00386757" w:rsidP="00183434">
      <w:pPr>
        <w:ind w:firstLine="720"/>
        <w:jc w:val="both"/>
        <w:rPr>
          <w:rFonts w:cs="Arial"/>
          <w:sz w:val="23"/>
          <w:szCs w:val="23"/>
          <w:u w:val="single"/>
        </w:rPr>
      </w:pPr>
      <w:r w:rsidRPr="00183434">
        <w:rPr>
          <w:rFonts w:cs="Arial"/>
          <w:sz w:val="23"/>
          <w:szCs w:val="23"/>
          <w:u w:val="single"/>
        </w:rPr>
        <w:t>Operating Leases</w:t>
      </w:r>
    </w:p>
    <w:p w14:paraId="15A2B9EF" w14:textId="77777777" w:rsidR="00386757" w:rsidRPr="00183434" w:rsidRDefault="00386757" w:rsidP="00183434">
      <w:pPr>
        <w:ind w:firstLine="720"/>
        <w:jc w:val="both"/>
        <w:rPr>
          <w:rFonts w:cs="Arial"/>
          <w:sz w:val="23"/>
          <w:szCs w:val="23"/>
        </w:rPr>
      </w:pPr>
    </w:p>
    <w:p w14:paraId="1EC3D361" w14:textId="77777777" w:rsidR="00386757" w:rsidRDefault="00386757" w:rsidP="00183434">
      <w:pPr>
        <w:ind w:left="720"/>
        <w:jc w:val="both"/>
        <w:rPr>
          <w:rFonts w:cs="Arial"/>
          <w:sz w:val="23"/>
          <w:szCs w:val="23"/>
        </w:rPr>
      </w:pPr>
      <w:r w:rsidRPr="00183434">
        <w:rPr>
          <w:rFonts w:cs="Arial"/>
          <w:sz w:val="23"/>
          <w:szCs w:val="23"/>
        </w:rPr>
        <w:t xml:space="preserve">The Authority has </w:t>
      </w:r>
      <w:proofErr w:type="gramStart"/>
      <w:r w:rsidRPr="00183434">
        <w:rPr>
          <w:rFonts w:cs="Arial"/>
          <w:sz w:val="23"/>
          <w:szCs w:val="23"/>
        </w:rPr>
        <w:t>a number of</w:t>
      </w:r>
      <w:proofErr w:type="gramEnd"/>
      <w:r w:rsidRPr="00183434">
        <w:rPr>
          <w:rFonts w:cs="Arial"/>
          <w:sz w:val="23"/>
          <w:szCs w:val="23"/>
        </w:rPr>
        <w:t xml:space="preserve"> operating leases. The future minimum lease payments due under non-cancellable leases in future years are:</w:t>
      </w:r>
    </w:p>
    <w:p w14:paraId="4744DC20" w14:textId="77777777" w:rsidR="00257E9C" w:rsidRDefault="00257E9C" w:rsidP="00183434">
      <w:pPr>
        <w:ind w:left="720"/>
        <w:jc w:val="both"/>
        <w:rPr>
          <w:rFonts w:cs="Arial"/>
          <w:sz w:val="23"/>
          <w:szCs w:val="23"/>
        </w:rPr>
      </w:pPr>
    </w:p>
    <w:p w14:paraId="2679D549" w14:textId="76F1D1F0" w:rsidR="00386757" w:rsidRPr="00183434" w:rsidRDefault="00257E9C" w:rsidP="00183434">
      <w:pPr>
        <w:ind w:firstLine="720"/>
        <w:jc w:val="both"/>
        <w:rPr>
          <w:rFonts w:cs="Arial"/>
          <w:sz w:val="23"/>
          <w:szCs w:val="23"/>
        </w:rPr>
      </w:pPr>
      <w:r>
        <w:rPr>
          <w:rFonts w:cs="Arial"/>
          <w:sz w:val="23"/>
          <w:szCs w:val="23"/>
        </w:rPr>
        <w:object w:dxaOrig="8518" w:dyaOrig="2928" w14:anchorId="360FCD03">
          <v:shape id="_x0000_i1516" type="#_x0000_t75" style="width:425.65pt;height:146.3pt" o:ole="">
            <v:imagedata r:id="rId116" o:title=""/>
          </v:shape>
          <o:OLEObject Type="Link" ProgID="Excel.Sheet.12" ShapeID="_x0000_i1516" DrawAspect="Content" r:id="rId117" UpdateMode="Always">
            <o:LinkType>EnhancedMetaFile</o:LinkType>
            <o:LockedField>false</o:LockedField>
          </o:OLEObject>
        </w:object>
      </w:r>
    </w:p>
    <w:p w14:paraId="2AF808AB" w14:textId="77777777" w:rsidR="00A76F44" w:rsidRPr="00183434" w:rsidRDefault="00A76F44" w:rsidP="00183434">
      <w:pPr>
        <w:ind w:left="720"/>
        <w:jc w:val="both"/>
        <w:rPr>
          <w:rFonts w:cs="Arial"/>
          <w:sz w:val="23"/>
          <w:szCs w:val="23"/>
          <w:highlight w:val="cyan"/>
        </w:rPr>
      </w:pPr>
    </w:p>
    <w:p w14:paraId="087155FA" w14:textId="7BA34D4B" w:rsidR="00386757" w:rsidRDefault="00386757" w:rsidP="00183434">
      <w:pPr>
        <w:ind w:left="720"/>
        <w:jc w:val="both"/>
        <w:rPr>
          <w:rFonts w:cs="Arial"/>
          <w:sz w:val="23"/>
          <w:szCs w:val="23"/>
        </w:rPr>
      </w:pPr>
      <w:r w:rsidRPr="00183434">
        <w:rPr>
          <w:rFonts w:cs="Arial"/>
          <w:sz w:val="23"/>
          <w:szCs w:val="23"/>
        </w:rPr>
        <w:t>The</w:t>
      </w:r>
      <w:r w:rsidR="00F10A8E" w:rsidRPr="00183434">
        <w:rPr>
          <w:rFonts w:cs="Arial"/>
          <w:sz w:val="23"/>
          <w:szCs w:val="23"/>
        </w:rPr>
        <w:t>re</w:t>
      </w:r>
      <w:r w:rsidRPr="00183434">
        <w:rPr>
          <w:rFonts w:cs="Arial"/>
          <w:sz w:val="23"/>
          <w:szCs w:val="23"/>
        </w:rPr>
        <w:t xml:space="preserve"> </w:t>
      </w:r>
      <w:proofErr w:type="gramStart"/>
      <w:r w:rsidR="00F10A8E" w:rsidRPr="00183434">
        <w:rPr>
          <w:rFonts w:cs="Arial"/>
          <w:sz w:val="23"/>
          <w:szCs w:val="23"/>
        </w:rPr>
        <w:t>were</w:t>
      </w:r>
      <w:proofErr w:type="gramEnd"/>
      <w:r w:rsidR="00F10A8E" w:rsidRPr="00183434">
        <w:rPr>
          <w:rFonts w:cs="Arial"/>
          <w:sz w:val="23"/>
          <w:szCs w:val="23"/>
        </w:rPr>
        <w:t xml:space="preserve"> no</w:t>
      </w:r>
      <w:r w:rsidRPr="00183434">
        <w:rPr>
          <w:rFonts w:cs="Arial"/>
          <w:sz w:val="23"/>
          <w:szCs w:val="23"/>
        </w:rPr>
        <w:t xml:space="preserve"> future minimum sublease payments expected to be received under non-cancellable subleases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w:t>
      </w:r>
      <w:proofErr w:type="gramStart"/>
      <w:r w:rsidRPr="00183434">
        <w:rPr>
          <w:rFonts w:cs="Arial"/>
          <w:sz w:val="23"/>
          <w:szCs w:val="23"/>
        </w:rPr>
        <w:t>March,</w:t>
      </w:r>
      <w:proofErr w:type="gramEnd"/>
      <w:r w:rsidRPr="00183434">
        <w:rPr>
          <w:rFonts w:cs="Arial"/>
          <w:sz w:val="23"/>
          <w:szCs w:val="23"/>
        </w:rPr>
        <w:t xml:space="preserve"> 20</w:t>
      </w:r>
      <w:r w:rsidR="00AA233F" w:rsidRPr="00183434">
        <w:rPr>
          <w:rFonts w:cs="Arial"/>
          <w:sz w:val="23"/>
          <w:szCs w:val="23"/>
        </w:rPr>
        <w:t>2</w:t>
      </w:r>
      <w:r w:rsidR="00D67660" w:rsidRPr="00183434">
        <w:rPr>
          <w:rFonts w:cs="Arial"/>
          <w:sz w:val="23"/>
          <w:szCs w:val="23"/>
        </w:rPr>
        <w:t>6</w:t>
      </w:r>
      <w:r w:rsidRPr="00183434">
        <w:rPr>
          <w:rFonts w:cs="Arial"/>
          <w:sz w:val="23"/>
          <w:szCs w:val="23"/>
        </w:rPr>
        <w:t xml:space="preserve"> </w:t>
      </w:r>
      <w:r w:rsidR="00F10A8E" w:rsidRPr="00183434">
        <w:rPr>
          <w:rFonts w:cs="Arial"/>
          <w:sz w:val="23"/>
          <w:szCs w:val="23"/>
        </w:rPr>
        <w:t>or</w:t>
      </w:r>
      <w:r w:rsidRPr="00183434">
        <w:rPr>
          <w:rFonts w:cs="Arial"/>
          <w:sz w:val="23"/>
          <w:szCs w:val="23"/>
        </w:rPr>
        <w:t xml:space="preserve"> 31</w:t>
      </w:r>
      <w:r w:rsidRPr="00183434">
        <w:rPr>
          <w:rFonts w:cs="Arial"/>
          <w:sz w:val="23"/>
          <w:szCs w:val="23"/>
          <w:vertAlign w:val="superscript"/>
        </w:rPr>
        <w:t>st</w:t>
      </w:r>
      <w:r w:rsidR="0063485C" w:rsidRPr="00183434">
        <w:rPr>
          <w:rFonts w:cs="Arial"/>
          <w:sz w:val="23"/>
          <w:szCs w:val="23"/>
        </w:rPr>
        <w:t xml:space="preserve"> </w:t>
      </w:r>
      <w:proofErr w:type="gramStart"/>
      <w:r w:rsidR="0063485C" w:rsidRPr="00183434">
        <w:rPr>
          <w:rFonts w:cs="Arial"/>
          <w:sz w:val="23"/>
          <w:szCs w:val="23"/>
        </w:rPr>
        <w:t>March,</w:t>
      </w:r>
      <w:proofErr w:type="gramEnd"/>
      <w:r w:rsidR="0063485C" w:rsidRPr="00183434">
        <w:rPr>
          <w:rFonts w:cs="Arial"/>
          <w:sz w:val="23"/>
          <w:szCs w:val="23"/>
        </w:rPr>
        <w:t xml:space="preserve"> 20</w:t>
      </w:r>
      <w:r w:rsidR="00DC2746" w:rsidRPr="00183434">
        <w:rPr>
          <w:rFonts w:cs="Arial"/>
          <w:sz w:val="23"/>
          <w:szCs w:val="23"/>
        </w:rPr>
        <w:t>2</w:t>
      </w:r>
      <w:r w:rsidR="00D67660" w:rsidRPr="00183434">
        <w:rPr>
          <w:rFonts w:cs="Arial"/>
          <w:sz w:val="23"/>
          <w:szCs w:val="23"/>
        </w:rPr>
        <w:t>5</w:t>
      </w:r>
      <w:r w:rsidRPr="00183434">
        <w:rPr>
          <w:rFonts w:cs="Arial"/>
          <w:sz w:val="23"/>
          <w:szCs w:val="23"/>
        </w:rPr>
        <w:t>.</w:t>
      </w:r>
    </w:p>
    <w:p w14:paraId="558711C4" w14:textId="77777777" w:rsidR="00D57F11" w:rsidRPr="00183434" w:rsidRDefault="00D57F11" w:rsidP="00183434">
      <w:pPr>
        <w:ind w:left="720"/>
        <w:jc w:val="both"/>
        <w:rPr>
          <w:rFonts w:cs="Arial"/>
          <w:sz w:val="23"/>
          <w:szCs w:val="23"/>
        </w:rPr>
      </w:pPr>
    </w:p>
    <w:p w14:paraId="7EFC00BA" w14:textId="36E07F2B" w:rsidR="00386757" w:rsidRDefault="00D57F11" w:rsidP="00183434">
      <w:pPr>
        <w:ind w:firstLine="720"/>
        <w:jc w:val="both"/>
        <w:rPr>
          <w:rFonts w:cs="Arial"/>
          <w:sz w:val="23"/>
          <w:szCs w:val="23"/>
        </w:rPr>
      </w:pPr>
      <w:r>
        <w:rPr>
          <w:rFonts w:cs="Arial"/>
          <w:sz w:val="23"/>
          <w:szCs w:val="23"/>
        </w:rPr>
        <w:object w:dxaOrig="8518" w:dyaOrig="2931" w14:anchorId="5D7B6611">
          <v:shape id="_x0000_i1518" type="#_x0000_t75" style="width:425.65pt;height:146.3pt" o:ole="">
            <v:imagedata r:id="rId118" o:title=""/>
          </v:shape>
          <o:OLEObject Type="Link" ProgID="Excel.Sheet.12" ShapeID="_x0000_i1518" DrawAspect="Content" r:id="rId119" UpdateMode="Always">
            <o:LinkType>EnhancedMetaFile</o:LinkType>
            <o:LockedField>false</o:LockedField>
          </o:OLEObject>
        </w:object>
      </w:r>
    </w:p>
    <w:p w14:paraId="4EECBDB5" w14:textId="77777777" w:rsidR="00D57F11" w:rsidRPr="00183434" w:rsidRDefault="00D57F11" w:rsidP="00183434">
      <w:pPr>
        <w:ind w:firstLine="720"/>
        <w:jc w:val="both"/>
        <w:rPr>
          <w:rFonts w:cs="Arial"/>
          <w:sz w:val="23"/>
          <w:szCs w:val="23"/>
        </w:rPr>
      </w:pPr>
    </w:p>
    <w:p w14:paraId="24B4E685" w14:textId="77777777" w:rsidR="00386757" w:rsidRPr="00183434" w:rsidRDefault="00386757" w:rsidP="00183434">
      <w:pPr>
        <w:ind w:left="720"/>
        <w:jc w:val="both"/>
        <w:rPr>
          <w:rFonts w:cs="Arial"/>
          <w:sz w:val="23"/>
          <w:szCs w:val="23"/>
        </w:rPr>
      </w:pPr>
      <w:r w:rsidRPr="00183434">
        <w:rPr>
          <w:rFonts w:cs="Arial"/>
          <w:sz w:val="23"/>
          <w:szCs w:val="23"/>
        </w:rPr>
        <w:t>The amounts recognised as an expense in Surplus or Deficit on Provision of Services are detailed below.</w:t>
      </w:r>
    </w:p>
    <w:p w14:paraId="3EA3145F" w14:textId="77777777" w:rsidR="00AE584E" w:rsidRPr="00183434" w:rsidRDefault="00AE584E" w:rsidP="00183434">
      <w:pPr>
        <w:jc w:val="both"/>
        <w:rPr>
          <w:rFonts w:cs="Arial"/>
          <w:sz w:val="23"/>
          <w:szCs w:val="23"/>
        </w:rPr>
      </w:pPr>
    </w:p>
    <w:p w14:paraId="488B875D" w14:textId="1738CA6D" w:rsidR="001C59C5" w:rsidRPr="00183434" w:rsidRDefault="001C59C5" w:rsidP="00183434">
      <w:pPr>
        <w:ind w:left="709"/>
        <w:jc w:val="both"/>
        <w:rPr>
          <w:rFonts w:cs="Arial"/>
          <w:sz w:val="23"/>
          <w:szCs w:val="23"/>
        </w:rPr>
      </w:pPr>
    </w:p>
    <w:p w14:paraId="2BD4E69C" w14:textId="77777777" w:rsidR="00D36841" w:rsidRPr="00183434" w:rsidRDefault="00D36841" w:rsidP="00183434">
      <w:pPr>
        <w:jc w:val="both"/>
        <w:rPr>
          <w:rFonts w:cs="Arial"/>
          <w:sz w:val="23"/>
          <w:szCs w:val="23"/>
          <w:highlight w:val="cyan"/>
        </w:rPr>
      </w:pPr>
    </w:p>
    <w:p w14:paraId="28DAA079" w14:textId="77777777" w:rsidR="00D57F11" w:rsidRDefault="00D57F11">
      <w:pPr>
        <w:rPr>
          <w:rFonts w:cs="Arial"/>
          <w:sz w:val="23"/>
          <w:szCs w:val="23"/>
          <w:u w:val="single"/>
        </w:rPr>
      </w:pPr>
      <w:r>
        <w:rPr>
          <w:rFonts w:cs="Arial"/>
          <w:sz w:val="23"/>
          <w:szCs w:val="23"/>
          <w:u w:val="single"/>
        </w:rPr>
        <w:br w:type="page"/>
      </w:r>
    </w:p>
    <w:p w14:paraId="219FB0C3" w14:textId="6B369AB9" w:rsidR="00386757" w:rsidRPr="00183434" w:rsidRDefault="00751B81" w:rsidP="00183434">
      <w:pPr>
        <w:ind w:left="720"/>
        <w:jc w:val="both"/>
        <w:rPr>
          <w:rFonts w:cs="Arial"/>
          <w:sz w:val="23"/>
          <w:szCs w:val="23"/>
          <w:u w:val="single"/>
        </w:rPr>
      </w:pPr>
      <w:r w:rsidRPr="00183434">
        <w:rPr>
          <w:rFonts w:cs="Arial"/>
          <w:sz w:val="23"/>
          <w:szCs w:val="23"/>
          <w:u w:val="single"/>
        </w:rPr>
        <w:lastRenderedPageBreak/>
        <w:t>A</w:t>
      </w:r>
      <w:r w:rsidR="00386757" w:rsidRPr="00183434">
        <w:rPr>
          <w:rFonts w:cs="Arial"/>
          <w:sz w:val="23"/>
          <w:szCs w:val="23"/>
          <w:u w:val="single"/>
        </w:rPr>
        <w:t>uthority as Lessor</w:t>
      </w:r>
    </w:p>
    <w:p w14:paraId="064CE443" w14:textId="77777777" w:rsidR="00386757" w:rsidRPr="00183434" w:rsidRDefault="00386757" w:rsidP="00183434">
      <w:pPr>
        <w:jc w:val="both"/>
        <w:rPr>
          <w:rFonts w:cs="Arial"/>
          <w:sz w:val="23"/>
          <w:szCs w:val="23"/>
        </w:rPr>
      </w:pPr>
      <w:r w:rsidRPr="00183434">
        <w:rPr>
          <w:rFonts w:cs="Arial"/>
          <w:sz w:val="23"/>
          <w:szCs w:val="23"/>
        </w:rPr>
        <w:tab/>
      </w:r>
    </w:p>
    <w:p w14:paraId="4EDD9363" w14:textId="77777777" w:rsidR="00386757" w:rsidRPr="00183434" w:rsidRDefault="00386757" w:rsidP="00183434">
      <w:pPr>
        <w:ind w:firstLine="720"/>
        <w:jc w:val="both"/>
        <w:rPr>
          <w:rFonts w:cs="Arial"/>
          <w:sz w:val="23"/>
          <w:szCs w:val="23"/>
          <w:u w:val="single"/>
        </w:rPr>
      </w:pPr>
      <w:r w:rsidRPr="00183434">
        <w:rPr>
          <w:rFonts w:cs="Arial"/>
          <w:sz w:val="23"/>
          <w:szCs w:val="23"/>
          <w:u w:val="single"/>
        </w:rPr>
        <w:t>Finance Leases</w:t>
      </w:r>
    </w:p>
    <w:p w14:paraId="256C2DE2" w14:textId="77777777" w:rsidR="00386757" w:rsidRPr="00183434" w:rsidRDefault="00386757" w:rsidP="00183434">
      <w:pPr>
        <w:jc w:val="both"/>
        <w:rPr>
          <w:rFonts w:cs="Arial"/>
          <w:sz w:val="23"/>
          <w:szCs w:val="23"/>
        </w:rPr>
      </w:pPr>
    </w:p>
    <w:p w14:paraId="422906AD" w14:textId="77777777" w:rsidR="00386757" w:rsidRPr="00183434" w:rsidRDefault="00386757" w:rsidP="00183434">
      <w:pPr>
        <w:ind w:firstLine="720"/>
        <w:jc w:val="both"/>
        <w:rPr>
          <w:rFonts w:cs="Arial"/>
          <w:sz w:val="23"/>
          <w:szCs w:val="23"/>
        </w:rPr>
      </w:pPr>
      <w:r w:rsidRPr="00183434">
        <w:rPr>
          <w:rFonts w:cs="Arial"/>
          <w:sz w:val="23"/>
          <w:szCs w:val="23"/>
        </w:rPr>
        <w:t>The Authority has no finance leases.</w:t>
      </w:r>
    </w:p>
    <w:p w14:paraId="3AF1F0F1" w14:textId="77777777" w:rsidR="008C7771" w:rsidRPr="00183434" w:rsidRDefault="008C7771" w:rsidP="00183434">
      <w:pPr>
        <w:ind w:firstLine="720"/>
        <w:jc w:val="both"/>
        <w:rPr>
          <w:rFonts w:cs="Arial"/>
          <w:sz w:val="23"/>
          <w:szCs w:val="23"/>
        </w:rPr>
      </w:pPr>
    </w:p>
    <w:p w14:paraId="6EB51C13" w14:textId="77777777" w:rsidR="00386757" w:rsidRPr="00183434" w:rsidRDefault="00386757" w:rsidP="00183434">
      <w:pPr>
        <w:ind w:firstLine="720"/>
        <w:jc w:val="both"/>
        <w:rPr>
          <w:rFonts w:cs="Arial"/>
          <w:sz w:val="23"/>
          <w:szCs w:val="23"/>
          <w:u w:val="single"/>
        </w:rPr>
      </w:pPr>
      <w:r w:rsidRPr="00183434">
        <w:rPr>
          <w:rFonts w:cs="Arial"/>
          <w:sz w:val="23"/>
          <w:szCs w:val="23"/>
          <w:u w:val="single"/>
        </w:rPr>
        <w:t>Operating Leases</w:t>
      </w:r>
    </w:p>
    <w:p w14:paraId="3502EC87" w14:textId="77777777" w:rsidR="00386757" w:rsidRPr="00183434" w:rsidRDefault="00386757" w:rsidP="00183434">
      <w:pPr>
        <w:ind w:firstLine="720"/>
        <w:jc w:val="both"/>
        <w:rPr>
          <w:rFonts w:cs="Arial"/>
          <w:sz w:val="23"/>
          <w:szCs w:val="23"/>
        </w:rPr>
      </w:pPr>
    </w:p>
    <w:p w14:paraId="4C38D8F9" w14:textId="77777777" w:rsidR="00386757" w:rsidRPr="00183434" w:rsidRDefault="00386757" w:rsidP="00183434">
      <w:pPr>
        <w:ind w:left="720"/>
        <w:jc w:val="both"/>
        <w:rPr>
          <w:rFonts w:cs="Arial"/>
          <w:sz w:val="23"/>
          <w:szCs w:val="23"/>
        </w:rPr>
      </w:pPr>
      <w:r w:rsidRPr="00183434">
        <w:rPr>
          <w:rFonts w:cs="Arial"/>
          <w:sz w:val="23"/>
          <w:szCs w:val="23"/>
        </w:rPr>
        <w:t>The Authority leases out industrial and commercial premises for economic development purposes to provide suitable affordable accommodation for local businesses.</w:t>
      </w:r>
    </w:p>
    <w:p w14:paraId="5F27BB4E" w14:textId="664AFFC5" w:rsidR="0078470B" w:rsidRPr="00183434" w:rsidRDefault="0078470B" w:rsidP="00183434">
      <w:pPr>
        <w:jc w:val="both"/>
        <w:rPr>
          <w:rFonts w:cs="Arial"/>
          <w:sz w:val="23"/>
          <w:szCs w:val="23"/>
        </w:rPr>
      </w:pPr>
    </w:p>
    <w:p w14:paraId="68FA1482" w14:textId="617EF91D" w:rsidR="00AC4F00" w:rsidRPr="00183434" w:rsidRDefault="00386757" w:rsidP="00183434">
      <w:pPr>
        <w:ind w:left="720"/>
        <w:jc w:val="both"/>
        <w:rPr>
          <w:rFonts w:cs="Arial"/>
          <w:sz w:val="23"/>
          <w:szCs w:val="23"/>
        </w:rPr>
      </w:pPr>
      <w:r w:rsidRPr="00183434">
        <w:rPr>
          <w:rFonts w:cs="Arial"/>
          <w:sz w:val="23"/>
          <w:szCs w:val="23"/>
        </w:rPr>
        <w:t>The future minimum lease payments receivable under non-cancellable leases in future years are:</w:t>
      </w:r>
    </w:p>
    <w:p w14:paraId="08C4AFF7" w14:textId="77777777" w:rsidR="00191059" w:rsidRPr="00183434" w:rsidRDefault="00191059" w:rsidP="00183434">
      <w:pPr>
        <w:ind w:left="720"/>
        <w:jc w:val="both"/>
        <w:rPr>
          <w:rFonts w:cs="Arial"/>
          <w:sz w:val="23"/>
          <w:szCs w:val="23"/>
        </w:rPr>
      </w:pPr>
    </w:p>
    <w:p w14:paraId="5CF1B5E9" w14:textId="487C8D62" w:rsidR="00B5313F" w:rsidRPr="00183434" w:rsidRDefault="00EF3467" w:rsidP="00183434">
      <w:pPr>
        <w:ind w:left="567" w:firstLine="153"/>
        <w:jc w:val="both"/>
        <w:rPr>
          <w:rFonts w:cs="Arial"/>
          <w:sz w:val="23"/>
          <w:szCs w:val="23"/>
        </w:rPr>
      </w:pPr>
      <w:r w:rsidRPr="00183434">
        <w:rPr>
          <w:rFonts w:cs="Arial"/>
          <w:sz w:val="23"/>
          <w:szCs w:val="23"/>
        </w:rPr>
        <w:object w:dxaOrig="8518" w:dyaOrig="2931" w14:anchorId="19D5DF8B">
          <v:shape id="_x0000_i1077" type="#_x0000_t75" style="width:425.65pt;height:146.3pt" o:ole="">
            <v:imagedata r:id="rId120" o:title=""/>
          </v:shape>
          <o:OLEObject Type="Link" ProgID="Excel.Sheet.12" ShapeID="_x0000_i1077" DrawAspect="Content" r:id="rId121" UpdateMode="Always">
            <o:LinkType>EnhancedMetaFile</o:LinkType>
            <o:LockedField>false</o:LockedField>
            <o:FieldCodes>\* MERGEFORMAT</o:FieldCodes>
          </o:OLEObject>
        </w:object>
      </w:r>
    </w:p>
    <w:p w14:paraId="3FDCA10F" w14:textId="77777777" w:rsidR="00AA233F" w:rsidRPr="00183434" w:rsidRDefault="00AA233F" w:rsidP="00183434">
      <w:pPr>
        <w:ind w:left="720"/>
        <w:jc w:val="both"/>
        <w:rPr>
          <w:rFonts w:cs="Arial"/>
          <w:sz w:val="23"/>
          <w:szCs w:val="23"/>
          <w:highlight w:val="cyan"/>
        </w:rPr>
      </w:pPr>
    </w:p>
    <w:p w14:paraId="0E1B8821" w14:textId="77777777" w:rsidR="00692646" w:rsidRPr="00183434" w:rsidRDefault="00386757" w:rsidP="00183434">
      <w:pPr>
        <w:ind w:left="720"/>
        <w:jc w:val="both"/>
        <w:rPr>
          <w:rFonts w:cs="Arial"/>
          <w:sz w:val="23"/>
          <w:szCs w:val="23"/>
        </w:rPr>
      </w:pPr>
      <w:bookmarkStart w:id="3" w:name="_Hlk141787051"/>
      <w:r w:rsidRPr="00183434">
        <w:rPr>
          <w:rFonts w:cs="Arial"/>
          <w:sz w:val="23"/>
          <w:szCs w:val="23"/>
        </w:rPr>
        <w:t xml:space="preserve">The minimum lease payments receivable </w:t>
      </w:r>
      <w:proofErr w:type="gramStart"/>
      <w:r w:rsidRPr="00183434">
        <w:rPr>
          <w:rFonts w:cs="Arial"/>
          <w:sz w:val="23"/>
          <w:szCs w:val="23"/>
        </w:rPr>
        <w:t>do</w:t>
      </w:r>
      <w:proofErr w:type="gramEnd"/>
      <w:r w:rsidRPr="00183434">
        <w:rPr>
          <w:rFonts w:cs="Arial"/>
          <w:sz w:val="23"/>
          <w:szCs w:val="23"/>
        </w:rPr>
        <w:t xml:space="preserve"> not include rents that are contingent on events taking place after the lease was entered into, such as adjustments following re</w:t>
      </w:r>
      <w:r w:rsidR="0063485C" w:rsidRPr="00183434">
        <w:rPr>
          <w:rFonts w:cs="Arial"/>
          <w:sz w:val="23"/>
          <w:szCs w:val="23"/>
        </w:rPr>
        <w:t>nt re</w:t>
      </w:r>
      <w:r w:rsidR="00E05378" w:rsidRPr="00183434">
        <w:rPr>
          <w:rFonts w:cs="Arial"/>
          <w:sz w:val="23"/>
          <w:szCs w:val="23"/>
        </w:rPr>
        <w:t xml:space="preserve">views. </w:t>
      </w:r>
    </w:p>
    <w:bookmarkEnd w:id="3"/>
    <w:p w14:paraId="03C3DDE4" w14:textId="12497D26" w:rsidR="00191059" w:rsidRPr="00183434" w:rsidRDefault="00191059" w:rsidP="00183434">
      <w:pPr>
        <w:jc w:val="both"/>
        <w:rPr>
          <w:rFonts w:cs="Arial"/>
          <w:b/>
          <w:sz w:val="23"/>
          <w:szCs w:val="23"/>
        </w:rPr>
      </w:pPr>
    </w:p>
    <w:p w14:paraId="11C7C4BA" w14:textId="0315FFBB" w:rsidR="00386757" w:rsidRPr="00183434" w:rsidRDefault="00386757" w:rsidP="00183434">
      <w:pPr>
        <w:jc w:val="both"/>
        <w:rPr>
          <w:rFonts w:cs="Arial"/>
          <w:b/>
          <w:sz w:val="23"/>
          <w:szCs w:val="23"/>
          <w:u w:val="single"/>
        </w:rPr>
      </w:pPr>
      <w:r w:rsidRPr="00183434">
        <w:rPr>
          <w:rFonts w:cs="Arial"/>
          <w:b/>
          <w:sz w:val="23"/>
          <w:szCs w:val="23"/>
        </w:rPr>
        <w:t>3</w:t>
      </w:r>
      <w:r w:rsidR="001B2752" w:rsidRPr="00183434">
        <w:rPr>
          <w:rFonts w:cs="Arial"/>
          <w:b/>
          <w:sz w:val="23"/>
          <w:szCs w:val="23"/>
        </w:rPr>
        <w:t>0</w:t>
      </w:r>
      <w:r w:rsidRPr="00183434">
        <w:rPr>
          <w:rFonts w:cs="Arial"/>
          <w:sz w:val="23"/>
          <w:szCs w:val="23"/>
        </w:rPr>
        <w:t xml:space="preserve">.    </w:t>
      </w:r>
      <w:r w:rsidR="00103D28" w:rsidRPr="00183434">
        <w:rPr>
          <w:rFonts w:cs="Arial"/>
          <w:sz w:val="23"/>
          <w:szCs w:val="23"/>
        </w:rPr>
        <w:tab/>
      </w:r>
      <w:r w:rsidRPr="00183434">
        <w:rPr>
          <w:rFonts w:cs="Arial"/>
          <w:b/>
          <w:sz w:val="23"/>
          <w:szCs w:val="23"/>
          <w:u w:val="single"/>
        </w:rPr>
        <w:t>DEBTORS</w:t>
      </w:r>
    </w:p>
    <w:p w14:paraId="40DCD8C0" w14:textId="77777777" w:rsidR="00027D1A" w:rsidRPr="00183434" w:rsidRDefault="00027D1A" w:rsidP="00183434">
      <w:pPr>
        <w:jc w:val="both"/>
        <w:rPr>
          <w:rFonts w:cs="Arial"/>
          <w:b/>
          <w:sz w:val="23"/>
          <w:szCs w:val="23"/>
          <w:u w:val="single"/>
        </w:rPr>
      </w:pPr>
    </w:p>
    <w:p w14:paraId="4521CB67" w14:textId="4DF0EDEF" w:rsidR="00027D1A" w:rsidRPr="00183434" w:rsidRDefault="00027D1A" w:rsidP="00183434">
      <w:pPr>
        <w:ind w:firstLine="720"/>
        <w:jc w:val="both"/>
        <w:rPr>
          <w:rFonts w:cs="Arial"/>
          <w:b/>
          <w:sz w:val="23"/>
          <w:szCs w:val="23"/>
          <w:u w:val="single"/>
        </w:rPr>
      </w:pPr>
      <w:r w:rsidRPr="00183434">
        <w:rPr>
          <w:rFonts w:cs="Arial"/>
          <w:b/>
          <w:sz w:val="23"/>
          <w:szCs w:val="23"/>
          <w:u w:val="single"/>
        </w:rPr>
        <w:object w:dxaOrig="8518" w:dyaOrig="2993" w14:anchorId="1125073E">
          <v:shape id="_x0000_i1149" type="#_x0000_t75" style="width:425.65pt;height:149.75pt" o:ole="">
            <v:imagedata r:id="rId122" o:title=""/>
          </v:shape>
          <o:OLEObject Type="Link" ProgID="Excel.Sheet.12" ShapeID="_x0000_i1149" DrawAspect="Content" r:id="rId123" UpdateMode="Always">
            <o:LinkType>EnhancedMetaFile</o:LinkType>
            <o:LockedField>false</o:LockedField>
            <o:FieldCodes>\* MERGEFORMAT</o:FieldCodes>
          </o:OLEObject>
        </w:object>
      </w:r>
    </w:p>
    <w:p w14:paraId="557B2A94" w14:textId="77777777" w:rsidR="00027D1A" w:rsidRPr="00183434" w:rsidRDefault="00027D1A" w:rsidP="00183434">
      <w:pPr>
        <w:jc w:val="both"/>
        <w:rPr>
          <w:rFonts w:cs="Arial"/>
          <w:b/>
          <w:sz w:val="23"/>
          <w:szCs w:val="23"/>
          <w:u w:val="single"/>
        </w:rPr>
      </w:pPr>
    </w:p>
    <w:p w14:paraId="1D4DFD37" w14:textId="66432326" w:rsidR="00D57F11" w:rsidRDefault="00D57F11">
      <w:pPr>
        <w:rPr>
          <w:rFonts w:cs="Arial"/>
          <w:sz w:val="23"/>
          <w:szCs w:val="23"/>
        </w:rPr>
      </w:pPr>
      <w:r>
        <w:rPr>
          <w:rFonts w:cs="Arial"/>
          <w:sz w:val="23"/>
          <w:szCs w:val="23"/>
        </w:rPr>
        <w:br w:type="page"/>
      </w:r>
    </w:p>
    <w:p w14:paraId="38A848F0" w14:textId="77777777" w:rsidR="009B1EDC" w:rsidRPr="00183434" w:rsidRDefault="009B1EDC" w:rsidP="00183434">
      <w:pPr>
        <w:tabs>
          <w:tab w:val="left" w:pos="1063"/>
        </w:tabs>
        <w:jc w:val="both"/>
        <w:rPr>
          <w:rFonts w:cs="Arial"/>
          <w:sz w:val="23"/>
          <w:szCs w:val="23"/>
        </w:rPr>
      </w:pPr>
    </w:p>
    <w:p w14:paraId="68A0F3DC" w14:textId="258BB342" w:rsidR="00386757" w:rsidRPr="00183434" w:rsidRDefault="00386757" w:rsidP="00183434">
      <w:pPr>
        <w:jc w:val="both"/>
        <w:rPr>
          <w:rFonts w:cs="Arial"/>
          <w:sz w:val="23"/>
          <w:szCs w:val="23"/>
        </w:rPr>
      </w:pPr>
      <w:r w:rsidRPr="00183434">
        <w:rPr>
          <w:rFonts w:cs="Arial"/>
          <w:b/>
          <w:sz w:val="23"/>
          <w:szCs w:val="23"/>
        </w:rPr>
        <w:t>3</w:t>
      </w:r>
      <w:r w:rsidR="001B2752" w:rsidRPr="00183434">
        <w:rPr>
          <w:rFonts w:cs="Arial"/>
          <w:b/>
          <w:sz w:val="23"/>
          <w:szCs w:val="23"/>
        </w:rPr>
        <w:t>1</w:t>
      </w:r>
      <w:r w:rsidRPr="00183434">
        <w:rPr>
          <w:rFonts w:cs="Arial"/>
          <w:sz w:val="23"/>
          <w:szCs w:val="23"/>
        </w:rPr>
        <w:t>.</w:t>
      </w:r>
      <w:r w:rsidR="00103D28" w:rsidRPr="00183434">
        <w:rPr>
          <w:rFonts w:cs="Arial"/>
          <w:sz w:val="23"/>
          <w:szCs w:val="23"/>
        </w:rPr>
        <w:tab/>
      </w:r>
      <w:r w:rsidRPr="00183434">
        <w:rPr>
          <w:rFonts w:cs="Arial"/>
          <w:b/>
          <w:sz w:val="23"/>
          <w:szCs w:val="23"/>
          <w:u w:val="single"/>
        </w:rPr>
        <w:t>CASH &amp; CASH EQUIVALENTS</w:t>
      </w:r>
    </w:p>
    <w:p w14:paraId="01B83730" w14:textId="77777777" w:rsidR="00386757" w:rsidRPr="00183434" w:rsidRDefault="00386757" w:rsidP="00183434">
      <w:pPr>
        <w:jc w:val="both"/>
        <w:rPr>
          <w:rFonts w:cs="Arial"/>
          <w:sz w:val="23"/>
          <w:szCs w:val="23"/>
        </w:rPr>
      </w:pPr>
    </w:p>
    <w:p w14:paraId="1329CE02" w14:textId="77777777" w:rsidR="00992E81" w:rsidRPr="00183434" w:rsidRDefault="00386757" w:rsidP="00183434">
      <w:pPr>
        <w:jc w:val="both"/>
        <w:rPr>
          <w:rFonts w:cs="Arial"/>
          <w:sz w:val="23"/>
          <w:szCs w:val="23"/>
        </w:rPr>
      </w:pPr>
      <w:r w:rsidRPr="00183434">
        <w:rPr>
          <w:rFonts w:cs="Arial"/>
          <w:sz w:val="23"/>
          <w:szCs w:val="23"/>
        </w:rPr>
        <w:tab/>
        <w:t>The balance of cash and cash equivalents is made up of the following elements:</w:t>
      </w:r>
    </w:p>
    <w:p w14:paraId="5559D577" w14:textId="77777777" w:rsidR="00AD5EAA" w:rsidRPr="00183434" w:rsidRDefault="00AD5EAA" w:rsidP="00183434">
      <w:pPr>
        <w:jc w:val="both"/>
        <w:rPr>
          <w:rFonts w:cs="Arial"/>
          <w:sz w:val="23"/>
          <w:szCs w:val="23"/>
        </w:rPr>
      </w:pPr>
    </w:p>
    <w:p w14:paraId="49349042" w14:textId="3A5141E0" w:rsidR="00901865" w:rsidRPr="00183434" w:rsidRDefault="000B7D57" w:rsidP="00183434">
      <w:pPr>
        <w:ind w:firstLine="720"/>
        <w:jc w:val="both"/>
        <w:rPr>
          <w:rFonts w:cs="Arial"/>
          <w:sz w:val="23"/>
          <w:szCs w:val="23"/>
        </w:rPr>
      </w:pPr>
      <w:r w:rsidRPr="00183434">
        <w:rPr>
          <w:rFonts w:cs="Arial"/>
          <w:sz w:val="23"/>
          <w:szCs w:val="23"/>
        </w:rPr>
        <w:object w:dxaOrig="8518" w:dyaOrig="2993" w14:anchorId="0F7750CA">
          <v:shape id="_x0000_i1079" type="#_x0000_t75" style="width:425.65pt;height:149.75pt" o:ole="">
            <v:imagedata r:id="rId124" o:title=""/>
          </v:shape>
          <o:OLEObject Type="Link" ProgID="Excel.Sheet.12" ShapeID="_x0000_i1079" DrawAspect="Content" r:id="rId125" UpdateMode="Always">
            <o:LinkType>EnhancedMetaFile</o:LinkType>
            <o:LockedField>false</o:LockedField>
            <o:FieldCodes>\* MERGEFORMAT</o:FieldCodes>
          </o:OLEObject>
        </w:object>
      </w:r>
    </w:p>
    <w:p w14:paraId="081D07E7" w14:textId="77777777" w:rsidR="00901865" w:rsidRPr="00183434" w:rsidRDefault="00901865" w:rsidP="00183434">
      <w:pPr>
        <w:jc w:val="both"/>
        <w:rPr>
          <w:rFonts w:cs="Arial"/>
          <w:sz w:val="23"/>
          <w:szCs w:val="23"/>
          <w:highlight w:val="cyan"/>
        </w:rPr>
      </w:pPr>
    </w:p>
    <w:p w14:paraId="61FF0301" w14:textId="6551E430" w:rsidR="009B1EDC" w:rsidRPr="00183434" w:rsidRDefault="009B1EDC" w:rsidP="00183434">
      <w:pPr>
        <w:ind w:left="567" w:firstLine="153"/>
        <w:jc w:val="both"/>
        <w:rPr>
          <w:rFonts w:cs="Arial"/>
          <w:sz w:val="23"/>
          <w:szCs w:val="23"/>
        </w:rPr>
      </w:pPr>
    </w:p>
    <w:p w14:paraId="0F232DFC" w14:textId="77777777" w:rsidR="000B18AC" w:rsidRPr="00183434" w:rsidRDefault="000B18AC" w:rsidP="00183434">
      <w:pPr>
        <w:jc w:val="both"/>
        <w:rPr>
          <w:rFonts w:cs="Arial"/>
          <w:sz w:val="23"/>
          <w:szCs w:val="23"/>
          <w:highlight w:val="cyan"/>
        </w:rPr>
      </w:pPr>
    </w:p>
    <w:p w14:paraId="06788D43" w14:textId="77777777" w:rsidR="00B617C0" w:rsidRPr="00183434" w:rsidRDefault="00B617C0" w:rsidP="00183434">
      <w:pPr>
        <w:jc w:val="both"/>
        <w:rPr>
          <w:rFonts w:cs="Arial"/>
          <w:b/>
          <w:sz w:val="23"/>
          <w:szCs w:val="23"/>
          <w:highlight w:val="cyan"/>
        </w:rPr>
      </w:pPr>
    </w:p>
    <w:p w14:paraId="3C8F5621" w14:textId="77777777" w:rsidR="00AD5EAA" w:rsidRPr="00183434" w:rsidRDefault="00AD5EAA" w:rsidP="00183434">
      <w:pPr>
        <w:jc w:val="both"/>
        <w:rPr>
          <w:rFonts w:cs="Arial"/>
          <w:b/>
          <w:sz w:val="23"/>
          <w:szCs w:val="23"/>
          <w:highlight w:val="cyan"/>
        </w:rPr>
      </w:pPr>
      <w:r w:rsidRPr="00183434">
        <w:rPr>
          <w:rFonts w:cs="Arial"/>
          <w:b/>
          <w:sz w:val="23"/>
          <w:szCs w:val="23"/>
          <w:highlight w:val="cyan"/>
        </w:rPr>
        <w:br w:type="page"/>
      </w:r>
    </w:p>
    <w:p w14:paraId="0A8C7356" w14:textId="79152DEA" w:rsidR="00191059" w:rsidRPr="00183434" w:rsidRDefault="00386757" w:rsidP="00183434">
      <w:pPr>
        <w:jc w:val="both"/>
        <w:rPr>
          <w:rFonts w:cs="Arial"/>
          <w:b/>
          <w:sz w:val="23"/>
          <w:szCs w:val="23"/>
          <w:u w:val="single"/>
        </w:rPr>
      </w:pPr>
      <w:r w:rsidRPr="00183434">
        <w:rPr>
          <w:rFonts w:cs="Arial"/>
          <w:b/>
          <w:sz w:val="23"/>
          <w:szCs w:val="23"/>
        </w:rPr>
        <w:lastRenderedPageBreak/>
        <w:t>3</w:t>
      </w:r>
      <w:r w:rsidR="001B2752" w:rsidRPr="00183434">
        <w:rPr>
          <w:rFonts w:cs="Arial"/>
          <w:b/>
          <w:sz w:val="23"/>
          <w:szCs w:val="23"/>
        </w:rPr>
        <w:t>2</w:t>
      </w:r>
      <w:r w:rsidRPr="00183434">
        <w:rPr>
          <w:rFonts w:cs="Arial"/>
          <w:sz w:val="23"/>
          <w:szCs w:val="23"/>
        </w:rPr>
        <w:t>.</w:t>
      </w:r>
      <w:r w:rsidRPr="00183434">
        <w:rPr>
          <w:rFonts w:cs="Arial"/>
          <w:sz w:val="23"/>
          <w:szCs w:val="23"/>
        </w:rPr>
        <w:tab/>
      </w:r>
      <w:r w:rsidRPr="00183434">
        <w:rPr>
          <w:rFonts w:cs="Arial"/>
          <w:b/>
          <w:sz w:val="23"/>
          <w:szCs w:val="23"/>
          <w:u w:val="single"/>
        </w:rPr>
        <w:t>ASSETS HELD FOR SALE</w:t>
      </w:r>
    </w:p>
    <w:p w14:paraId="72C134D8" w14:textId="77777777" w:rsidR="00AD5EAA" w:rsidRPr="00183434" w:rsidRDefault="00AD5EAA" w:rsidP="00183434">
      <w:pPr>
        <w:jc w:val="both"/>
        <w:rPr>
          <w:rFonts w:cs="Arial"/>
          <w:b/>
          <w:sz w:val="23"/>
          <w:szCs w:val="23"/>
          <w:u w:val="single"/>
        </w:rPr>
      </w:pPr>
    </w:p>
    <w:p w14:paraId="153CD02A" w14:textId="50BE0F27" w:rsidR="0005661B" w:rsidRPr="00183434" w:rsidRDefault="0005661B" w:rsidP="00183434">
      <w:pPr>
        <w:jc w:val="both"/>
        <w:rPr>
          <w:rFonts w:cs="Arial"/>
          <w:sz w:val="23"/>
          <w:szCs w:val="23"/>
        </w:rPr>
      </w:pPr>
    </w:p>
    <w:p w14:paraId="7C0184C1" w14:textId="1B54966C" w:rsidR="00AD5EAA" w:rsidRPr="00183434" w:rsidRDefault="0023632A" w:rsidP="00183434">
      <w:pPr>
        <w:ind w:firstLine="720"/>
        <w:jc w:val="both"/>
        <w:rPr>
          <w:rFonts w:cs="Arial"/>
          <w:sz w:val="23"/>
          <w:szCs w:val="23"/>
        </w:rPr>
      </w:pPr>
      <w:hyperlink r:id="rId126" w:history="1">
        <w:r w:rsidR="00027D1A" w:rsidRPr="00183434">
          <w:rPr>
            <w:rFonts w:cs="Arial"/>
            <w:sz w:val="23"/>
            <w:szCs w:val="23"/>
          </w:rPr>
          <w:object w:dxaOrig="9183" w:dyaOrig="5537" w14:anchorId="2F321D6A">
            <v:shape id="_x0000_i1080" type="#_x0000_t75" style="width:426.8pt;height:257.45pt" o:ole="">
              <v:imagedata r:id="rId127" o:title=""/>
            </v:shape>
            <o:OLEObject Type="Link" ProgID="Excel.Sheet.12" ShapeID="_x0000_i1080" DrawAspect="Content" r:id="rId128" UpdateMode="Always">
              <o:LinkType>EnhancedMetaFile</o:LinkType>
              <o:LockedField>false</o:LockedField>
              <o:FieldCodes>\* MERGEFORMAT</o:FieldCodes>
            </o:OLEObject>
          </w:object>
        </w:r>
      </w:hyperlink>
    </w:p>
    <w:p w14:paraId="2AC3CC61" w14:textId="77777777" w:rsidR="00AD5EAA" w:rsidRPr="00183434" w:rsidRDefault="00AD5EAA" w:rsidP="00183434">
      <w:pPr>
        <w:jc w:val="both"/>
        <w:rPr>
          <w:rFonts w:cs="Arial"/>
          <w:sz w:val="23"/>
          <w:szCs w:val="23"/>
          <w:highlight w:val="cyan"/>
        </w:rPr>
      </w:pPr>
    </w:p>
    <w:p w14:paraId="59459CDC" w14:textId="77777777" w:rsidR="00AD5EAA" w:rsidRPr="00183434" w:rsidRDefault="00AD5EAA" w:rsidP="00183434">
      <w:pPr>
        <w:jc w:val="both"/>
        <w:rPr>
          <w:rFonts w:cs="Arial"/>
          <w:sz w:val="23"/>
          <w:szCs w:val="23"/>
          <w:highlight w:val="cyan"/>
        </w:rPr>
      </w:pPr>
    </w:p>
    <w:p w14:paraId="60EABCE7" w14:textId="590AA25D" w:rsidR="00386757" w:rsidRPr="00183434" w:rsidRDefault="00386757" w:rsidP="00183434">
      <w:pPr>
        <w:jc w:val="both"/>
        <w:rPr>
          <w:rFonts w:cs="Arial"/>
          <w:sz w:val="23"/>
          <w:szCs w:val="23"/>
        </w:rPr>
      </w:pPr>
      <w:r w:rsidRPr="00183434">
        <w:rPr>
          <w:rFonts w:cs="Arial"/>
          <w:b/>
          <w:sz w:val="23"/>
          <w:szCs w:val="23"/>
        </w:rPr>
        <w:t>3</w:t>
      </w:r>
      <w:r w:rsidR="001B2752" w:rsidRPr="00183434">
        <w:rPr>
          <w:rFonts w:cs="Arial"/>
          <w:b/>
          <w:sz w:val="23"/>
          <w:szCs w:val="23"/>
        </w:rPr>
        <w:t>3</w:t>
      </w:r>
      <w:r w:rsidRPr="00183434">
        <w:rPr>
          <w:rFonts w:cs="Arial"/>
          <w:sz w:val="23"/>
          <w:szCs w:val="23"/>
        </w:rPr>
        <w:t>.</w:t>
      </w:r>
      <w:r w:rsidRPr="00183434">
        <w:rPr>
          <w:rFonts w:cs="Arial"/>
          <w:sz w:val="23"/>
          <w:szCs w:val="23"/>
        </w:rPr>
        <w:tab/>
      </w:r>
      <w:r w:rsidRPr="00183434">
        <w:rPr>
          <w:rFonts w:cs="Arial"/>
          <w:b/>
          <w:sz w:val="23"/>
          <w:szCs w:val="23"/>
          <w:u w:val="single"/>
        </w:rPr>
        <w:t>CREDITORS</w:t>
      </w:r>
    </w:p>
    <w:p w14:paraId="285DC45C" w14:textId="77777777" w:rsidR="00291DE5" w:rsidRPr="00183434" w:rsidRDefault="00291DE5" w:rsidP="00183434">
      <w:pPr>
        <w:jc w:val="both"/>
        <w:rPr>
          <w:rFonts w:cs="Arial"/>
          <w:sz w:val="23"/>
          <w:szCs w:val="23"/>
        </w:rPr>
      </w:pPr>
    </w:p>
    <w:p w14:paraId="6C3A2002" w14:textId="2008A6ED" w:rsidR="00FB7685" w:rsidRPr="00183434" w:rsidRDefault="00027D1A" w:rsidP="00183434">
      <w:pPr>
        <w:ind w:firstLine="720"/>
        <w:jc w:val="both"/>
        <w:rPr>
          <w:rFonts w:cs="Arial"/>
          <w:sz w:val="23"/>
          <w:szCs w:val="23"/>
        </w:rPr>
      </w:pPr>
      <w:r w:rsidRPr="00183434">
        <w:rPr>
          <w:rFonts w:cs="Arial"/>
          <w:sz w:val="23"/>
          <w:szCs w:val="23"/>
        </w:rPr>
        <w:object w:dxaOrig="8518" w:dyaOrig="2993" w14:anchorId="65BD08D4">
          <v:shape id="_x0000_i1152" type="#_x0000_t75" style="width:425.65pt;height:149.75pt" o:ole="">
            <v:imagedata r:id="rId129" o:title=""/>
          </v:shape>
          <o:OLEObject Type="Link" ProgID="Excel.Sheet.12" ShapeID="_x0000_i1152" DrawAspect="Content" r:id="rId130" UpdateMode="Always">
            <o:LinkType>EnhancedMetaFile</o:LinkType>
            <o:LockedField>false</o:LockedField>
            <o:FieldCodes>\* MERGEFORMAT</o:FieldCodes>
          </o:OLEObject>
        </w:object>
      </w:r>
    </w:p>
    <w:p w14:paraId="5C1DADE4" w14:textId="58752FB1" w:rsidR="00D57F11" w:rsidRDefault="00D57F11">
      <w:pPr>
        <w:rPr>
          <w:rFonts w:cs="Arial"/>
          <w:b/>
          <w:sz w:val="23"/>
          <w:szCs w:val="23"/>
          <w:highlight w:val="cyan"/>
        </w:rPr>
      </w:pPr>
      <w:r>
        <w:rPr>
          <w:rFonts w:cs="Arial"/>
          <w:b/>
          <w:sz w:val="23"/>
          <w:szCs w:val="23"/>
          <w:highlight w:val="cyan"/>
        </w:rPr>
        <w:br w:type="page"/>
      </w:r>
    </w:p>
    <w:p w14:paraId="22B386A0" w14:textId="77777777" w:rsidR="0078470B" w:rsidRPr="00183434" w:rsidRDefault="0078470B" w:rsidP="00183434">
      <w:pPr>
        <w:jc w:val="both"/>
        <w:rPr>
          <w:rFonts w:cs="Arial"/>
          <w:b/>
          <w:sz w:val="23"/>
          <w:szCs w:val="23"/>
          <w:highlight w:val="cyan"/>
        </w:rPr>
      </w:pPr>
    </w:p>
    <w:p w14:paraId="00939BA2" w14:textId="732135E6" w:rsidR="00386757" w:rsidRPr="00183434" w:rsidRDefault="00386757" w:rsidP="00183434">
      <w:pPr>
        <w:pStyle w:val="Footer"/>
        <w:tabs>
          <w:tab w:val="clear" w:pos="4153"/>
          <w:tab w:val="clear" w:pos="8306"/>
        </w:tabs>
        <w:jc w:val="both"/>
        <w:rPr>
          <w:rFonts w:cs="Arial"/>
          <w:b/>
          <w:sz w:val="23"/>
          <w:szCs w:val="23"/>
          <w:u w:val="single"/>
        </w:rPr>
      </w:pPr>
      <w:r w:rsidRPr="00183434">
        <w:rPr>
          <w:rFonts w:cs="Arial"/>
          <w:b/>
          <w:sz w:val="23"/>
          <w:szCs w:val="23"/>
        </w:rPr>
        <w:t>3</w:t>
      </w:r>
      <w:r w:rsidR="001B2752" w:rsidRPr="00183434">
        <w:rPr>
          <w:rFonts w:cs="Arial"/>
          <w:b/>
          <w:sz w:val="23"/>
          <w:szCs w:val="23"/>
        </w:rPr>
        <w:t>4</w:t>
      </w:r>
      <w:r w:rsidRPr="00183434">
        <w:rPr>
          <w:rFonts w:cs="Arial"/>
          <w:sz w:val="23"/>
          <w:szCs w:val="23"/>
        </w:rPr>
        <w:t>.</w:t>
      </w:r>
      <w:r w:rsidRPr="00183434">
        <w:rPr>
          <w:rFonts w:cs="Arial"/>
          <w:sz w:val="23"/>
          <w:szCs w:val="23"/>
        </w:rPr>
        <w:tab/>
      </w:r>
      <w:r w:rsidRPr="00183434">
        <w:rPr>
          <w:rFonts w:cs="Arial"/>
          <w:b/>
          <w:sz w:val="23"/>
          <w:szCs w:val="23"/>
          <w:u w:val="single"/>
        </w:rPr>
        <w:t>PROVISIONS</w:t>
      </w:r>
    </w:p>
    <w:p w14:paraId="39C64582" w14:textId="77777777" w:rsidR="00EE4F1F" w:rsidRPr="00183434" w:rsidRDefault="00EE4F1F" w:rsidP="00183434">
      <w:pPr>
        <w:pStyle w:val="Footer"/>
        <w:tabs>
          <w:tab w:val="clear" w:pos="4153"/>
          <w:tab w:val="clear" w:pos="8306"/>
        </w:tabs>
        <w:jc w:val="both"/>
        <w:rPr>
          <w:rFonts w:cs="Arial"/>
          <w:sz w:val="23"/>
          <w:szCs w:val="23"/>
        </w:rPr>
      </w:pPr>
    </w:p>
    <w:p w14:paraId="066553CA" w14:textId="77777777" w:rsidR="00B32325" w:rsidRPr="00183434" w:rsidRDefault="00B32325" w:rsidP="00183434">
      <w:pPr>
        <w:pStyle w:val="Footer"/>
        <w:tabs>
          <w:tab w:val="clear" w:pos="4153"/>
          <w:tab w:val="clear" w:pos="8306"/>
        </w:tabs>
        <w:jc w:val="both"/>
        <w:rPr>
          <w:rFonts w:cs="Arial"/>
          <w:sz w:val="23"/>
          <w:szCs w:val="23"/>
        </w:rPr>
      </w:pPr>
    </w:p>
    <w:p w14:paraId="784C16DD" w14:textId="77777777" w:rsidR="00E54CEF" w:rsidRPr="00183434" w:rsidRDefault="00386757" w:rsidP="00183434">
      <w:pPr>
        <w:ind w:left="720"/>
        <w:jc w:val="both"/>
        <w:rPr>
          <w:rFonts w:cs="Arial"/>
          <w:sz w:val="23"/>
          <w:szCs w:val="23"/>
        </w:rPr>
      </w:pPr>
      <w:r w:rsidRPr="00183434">
        <w:rPr>
          <w:rFonts w:cs="Arial"/>
          <w:sz w:val="23"/>
          <w:szCs w:val="23"/>
        </w:rPr>
        <w:t xml:space="preserve">The Council has established the following provisions under the appropriate legal power to cover potential </w:t>
      </w:r>
      <w:proofErr w:type="gramStart"/>
      <w:r w:rsidRPr="00183434">
        <w:rPr>
          <w:rFonts w:cs="Arial"/>
          <w:sz w:val="23"/>
          <w:szCs w:val="23"/>
        </w:rPr>
        <w:t>liabilities:-</w:t>
      </w:r>
      <w:proofErr w:type="gramEnd"/>
    </w:p>
    <w:p w14:paraId="1A161C1E" w14:textId="77777777" w:rsidR="00336A02" w:rsidRPr="00183434" w:rsidRDefault="00336A02" w:rsidP="00183434">
      <w:pPr>
        <w:ind w:left="720"/>
        <w:jc w:val="both"/>
        <w:rPr>
          <w:rFonts w:cs="Arial"/>
          <w:sz w:val="23"/>
          <w:szCs w:val="23"/>
        </w:rPr>
      </w:pPr>
    </w:p>
    <w:p w14:paraId="2F21E24F" w14:textId="3FDD6B1E" w:rsidR="00FB7685" w:rsidRPr="00183434" w:rsidRDefault="0064641E" w:rsidP="00D57F11">
      <w:pPr>
        <w:ind w:left="567" w:firstLine="153"/>
        <w:jc w:val="both"/>
        <w:rPr>
          <w:rFonts w:cs="Arial"/>
          <w:sz w:val="23"/>
          <w:szCs w:val="23"/>
        </w:rPr>
      </w:pPr>
      <w:r w:rsidRPr="00183434">
        <w:rPr>
          <w:rFonts w:cs="Arial"/>
          <w:sz w:val="23"/>
          <w:szCs w:val="23"/>
        </w:rPr>
        <w:object w:dxaOrig="8866" w:dyaOrig="6859" w14:anchorId="05DA64DB">
          <v:shape id="_x0000_i1082" type="#_x0000_t75" style="width:347.35pt;height:269pt" o:ole="">
            <v:imagedata r:id="rId131" o:title=""/>
          </v:shape>
          <o:OLEObject Type="Link" ProgID="Excel.Sheet.12" ShapeID="_x0000_i1082" DrawAspect="Content" r:id="rId132" UpdateMode="Always">
            <o:LinkType>EnhancedMetaFile</o:LinkType>
            <o:LockedField>false</o:LockedField>
            <o:FieldCodes>\* MERGEFORMAT</o:FieldCodes>
          </o:OLEObject>
        </w:object>
      </w:r>
    </w:p>
    <w:p w14:paraId="1196B577" w14:textId="77777777" w:rsidR="00AD5EAA" w:rsidRPr="00183434" w:rsidRDefault="00AD5EAA" w:rsidP="00183434">
      <w:pPr>
        <w:jc w:val="both"/>
        <w:rPr>
          <w:rFonts w:cs="Arial"/>
          <w:b/>
          <w:sz w:val="23"/>
          <w:szCs w:val="23"/>
        </w:rPr>
      </w:pPr>
    </w:p>
    <w:p w14:paraId="3D6C474F" w14:textId="4C715B84" w:rsidR="00386757" w:rsidRPr="00183434" w:rsidRDefault="00B617C0" w:rsidP="00183434">
      <w:pPr>
        <w:ind w:right="450" w:firstLine="720"/>
        <w:jc w:val="both"/>
        <w:rPr>
          <w:rFonts w:cs="Arial"/>
          <w:b/>
          <w:sz w:val="23"/>
          <w:szCs w:val="23"/>
        </w:rPr>
      </w:pPr>
      <w:r w:rsidRPr="00183434">
        <w:rPr>
          <w:rFonts w:cs="Arial"/>
          <w:b/>
          <w:sz w:val="23"/>
          <w:szCs w:val="23"/>
        </w:rPr>
        <w:t>Redundancy Provision</w:t>
      </w:r>
    </w:p>
    <w:p w14:paraId="7DF880EE" w14:textId="0B10AE37" w:rsidR="005E39D9" w:rsidRPr="00183434" w:rsidRDefault="00386757" w:rsidP="00183434">
      <w:pPr>
        <w:ind w:left="720"/>
        <w:jc w:val="both"/>
        <w:rPr>
          <w:rFonts w:cs="Arial"/>
          <w:sz w:val="23"/>
          <w:szCs w:val="23"/>
        </w:rPr>
      </w:pPr>
      <w:r w:rsidRPr="00183434">
        <w:rPr>
          <w:rFonts w:cs="Arial"/>
          <w:sz w:val="23"/>
          <w:szCs w:val="23"/>
        </w:rPr>
        <w:t xml:space="preserve">Provision </w:t>
      </w:r>
      <w:r w:rsidR="00B617C0" w:rsidRPr="00183434">
        <w:rPr>
          <w:rFonts w:cs="Arial"/>
          <w:sz w:val="23"/>
          <w:szCs w:val="23"/>
        </w:rPr>
        <w:t>to meet the</w:t>
      </w:r>
      <w:r w:rsidR="005E39D9" w:rsidRPr="00183434">
        <w:rPr>
          <w:rFonts w:cs="Arial"/>
          <w:sz w:val="23"/>
          <w:szCs w:val="23"/>
        </w:rPr>
        <w:t xml:space="preserve"> costs of employees who have agreed voluntary redundancy exits in 202</w:t>
      </w:r>
      <w:r w:rsidR="00970129" w:rsidRPr="00183434">
        <w:rPr>
          <w:rFonts w:cs="Arial"/>
          <w:sz w:val="23"/>
          <w:szCs w:val="23"/>
        </w:rPr>
        <w:t>5</w:t>
      </w:r>
      <w:r w:rsidR="005E39D9" w:rsidRPr="00183434">
        <w:rPr>
          <w:rFonts w:cs="Arial"/>
          <w:sz w:val="23"/>
          <w:szCs w:val="23"/>
        </w:rPr>
        <w:t>/2</w:t>
      </w:r>
      <w:r w:rsidR="00970129" w:rsidRPr="00183434">
        <w:rPr>
          <w:rFonts w:cs="Arial"/>
          <w:sz w:val="23"/>
          <w:szCs w:val="23"/>
        </w:rPr>
        <w:t>6</w:t>
      </w:r>
      <w:r w:rsidR="005E39D9" w:rsidRPr="00183434">
        <w:rPr>
          <w:rFonts w:cs="Arial"/>
          <w:sz w:val="23"/>
          <w:szCs w:val="23"/>
        </w:rPr>
        <w:t>.</w:t>
      </w:r>
    </w:p>
    <w:p w14:paraId="4177257E" w14:textId="77777777" w:rsidR="005E39D9" w:rsidRPr="00183434" w:rsidRDefault="005E39D9" w:rsidP="00183434">
      <w:pPr>
        <w:ind w:left="720"/>
        <w:jc w:val="both"/>
        <w:rPr>
          <w:rFonts w:cs="Arial"/>
          <w:sz w:val="23"/>
          <w:szCs w:val="23"/>
        </w:rPr>
      </w:pPr>
    </w:p>
    <w:p w14:paraId="12E63682" w14:textId="77777777" w:rsidR="00386757" w:rsidRPr="00183434" w:rsidRDefault="005E39D9" w:rsidP="00183434">
      <w:pPr>
        <w:ind w:left="720"/>
        <w:jc w:val="both"/>
        <w:rPr>
          <w:rFonts w:cs="Arial"/>
          <w:b/>
          <w:bCs/>
          <w:sz w:val="23"/>
          <w:szCs w:val="23"/>
        </w:rPr>
      </w:pPr>
      <w:r w:rsidRPr="00183434">
        <w:rPr>
          <w:rFonts w:cs="Arial"/>
          <w:b/>
          <w:bCs/>
          <w:sz w:val="23"/>
          <w:szCs w:val="23"/>
        </w:rPr>
        <w:t>Waterside Escrow</w:t>
      </w:r>
    </w:p>
    <w:p w14:paraId="24C5C3A3" w14:textId="77777777" w:rsidR="005E39D9" w:rsidRPr="00183434" w:rsidRDefault="005E39D9" w:rsidP="00183434">
      <w:pPr>
        <w:ind w:left="720"/>
        <w:jc w:val="both"/>
        <w:rPr>
          <w:rFonts w:cs="Arial"/>
          <w:sz w:val="23"/>
          <w:szCs w:val="23"/>
        </w:rPr>
      </w:pPr>
      <w:r w:rsidRPr="00183434">
        <w:rPr>
          <w:rFonts w:cs="Arial"/>
          <w:sz w:val="23"/>
          <w:szCs w:val="23"/>
        </w:rPr>
        <w:t xml:space="preserve">Provision to meet the costs of </w:t>
      </w:r>
      <w:proofErr w:type="gramStart"/>
      <w:r w:rsidRPr="00183434">
        <w:rPr>
          <w:rFonts w:cs="Arial"/>
          <w:sz w:val="23"/>
          <w:szCs w:val="23"/>
        </w:rPr>
        <w:t>rent free</w:t>
      </w:r>
      <w:proofErr w:type="gramEnd"/>
      <w:r w:rsidRPr="00183434">
        <w:rPr>
          <w:rFonts w:cs="Arial"/>
          <w:sz w:val="23"/>
          <w:szCs w:val="23"/>
        </w:rPr>
        <w:t xml:space="preserve"> periods related to tenants in One Waterside Place,</w:t>
      </w:r>
    </w:p>
    <w:p w14:paraId="51EF16B6" w14:textId="77777777" w:rsidR="00386757" w:rsidRPr="00183434" w:rsidRDefault="00386757" w:rsidP="00183434">
      <w:pPr>
        <w:jc w:val="both"/>
        <w:rPr>
          <w:rFonts w:cs="Arial"/>
          <w:sz w:val="23"/>
          <w:szCs w:val="23"/>
          <w:highlight w:val="cyan"/>
        </w:rPr>
      </w:pPr>
    </w:p>
    <w:p w14:paraId="5C471D6E" w14:textId="77777777" w:rsidR="00386757" w:rsidRPr="00183434" w:rsidRDefault="00386757" w:rsidP="00183434">
      <w:pPr>
        <w:jc w:val="both"/>
        <w:rPr>
          <w:rFonts w:cs="Arial"/>
          <w:b/>
          <w:sz w:val="23"/>
          <w:szCs w:val="23"/>
        </w:rPr>
      </w:pPr>
      <w:r w:rsidRPr="00183434">
        <w:rPr>
          <w:rFonts w:cs="Arial"/>
          <w:sz w:val="23"/>
          <w:szCs w:val="23"/>
        </w:rPr>
        <w:tab/>
      </w:r>
      <w:r w:rsidRPr="00183434">
        <w:rPr>
          <w:rFonts w:cs="Arial"/>
          <w:b/>
          <w:sz w:val="23"/>
          <w:szCs w:val="23"/>
        </w:rPr>
        <w:t>Transport Employee Pensions</w:t>
      </w:r>
    </w:p>
    <w:p w14:paraId="2F40F295" w14:textId="77777777" w:rsidR="00386757" w:rsidRPr="00183434" w:rsidRDefault="00386757" w:rsidP="00183434">
      <w:pPr>
        <w:ind w:left="720"/>
        <w:jc w:val="both"/>
        <w:rPr>
          <w:rFonts w:cs="Arial"/>
          <w:sz w:val="23"/>
          <w:szCs w:val="23"/>
        </w:rPr>
      </w:pPr>
      <w:r w:rsidRPr="00183434">
        <w:rPr>
          <w:rFonts w:cs="Arial"/>
          <w:sz w:val="23"/>
          <w:szCs w:val="23"/>
        </w:rPr>
        <w:t xml:space="preserve">The provision is being built up </w:t>
      </w:r>
      <w:proofErr w:type="gramStart"/>
      <w:r w:rsidRPr="00183434">
        <w:rPr>
          <w:rFonts w:cs="Arial"/>
          <w:sz w:val="23"/>
          <w:szCs w:val="23"/>
        </w:rPr>
        <w:t>in order to</w:t>
      </w:r>
      <w:proofErr w:type="gramEnd"/>
      <w:r w:rsidRPr="00183434">
        <w:rPr>
          <w:rFonts w:cs="Arial"/>
          <w:sz w:val="23"/>
          <w:szCs w:val="23"/>
        </w:rPr>
        <w:t xml:space="preserve"> meet the Council’s liability in respect of pensions of former Transport Undertaking employees who were transferred to the private sector on privatisation. An independent actuarial review of this fund t</w:t>
      </w:r>
      <w:r w:rsidR="0011088D" w:rsidRPr="00183434">
        <w:rPr>
          <w:rFonts w:cs="Arial"/>
          <w:sz w:val="23"/>
          <w:szCs w:val="23"/>
        </w:rPr>
        <w:t xml:space="preserve">akes place every three years. </w:t>
      </w:r>
      <w:r w:rsidR="009F6671" w:rsidRPr="00183434">
        <w:rPr>
          <w:rFonts w:cs="Arial"/>
          <w:sz w:val="23"/>
          <w:szCs w:val="23"/>
        </w:rPr>
        <w:t>The fund was reviewed</w:t>
      </w:r>
      <w:r w:rsidR="003E77B0" w:rsidRPr="00183434">
        <w:rPr>
          <w:rFonts w:cs="Arial"/>
          <w:sz w:val="23"/>
          <w:szCs w:val="23"/>
        </w:rPr>
        <w:t xml:space="preserve"> in March 20</w:t>
      </w:r>
      <w:r w:rsidR="00CF0764" w:rsidRPr="00183434">
        <w:rPr>
          <w:rFonts w:cs="Arial"/>
          <w:sz w:val="23"/>
          <w:szCs w:val="23"/>
        </w:rPr>
        <w:t>2</w:t>
      </w:r>
      <w:r w:rsidR="00065AAC" w:rsidRPr="00183434">
        <w:rPr>
          <w:rFonts w:cs="Arial"/>
          <w:sz w:val="23"/>
          <w:szCs w:val="23"/>
        </w:rPr>
        <w:t>3</w:t>
      </w:r>
      <w:r w:rsidR="003E77B0" w:rsidRPr="00183434">
        <w:rPr>
          <w:rFonts w:cs="Arial"/>
          <w:sz w:val="23"/>
          <w:szCs w:val="23"/>
        </w:rPr>
        <w:t xml:space="preserve"> and</w:t>
      </w:r>
      <w:r w:rsidR="00CB6AD3" w:rsidRPr="00183434">
        <w:rPr>
          <w:rFonts w:cs="Arial"/>
          <w:sz w:val="23"/>
          <w:szCs w:val="23"/>
        </w:rPr>
        <w:t xml:space="preserve"> will be increased over the next 3 years</w:t>
      </w:r>
      <w:r w:rsidR="003E77B0" w:rsidRPr="00183434">
        <w:rPr>
          <w:rFonts w:cs="Arial"/>
          <w:sz w:val="23"/>
          <w:szCs w:val="23"/>
        </w:rPr>
        <w:t xml:space="preserve"> in line with review recommendations.</w:t>
      </w:r>
    </w:p>
    <w:p w14:paraId="69A70E00" w14:textId="77777777" w:rsidR="00386757" w:rsidRPr="00183434" w:rsidRDefault="00386757" w:rsidP="00183434">
      <w:pPr>
        <w:jc w:val="both"/>
        <w:rPr>
          <w:rFonts w:cs="Arial"/>
          <w:sz w:val="23"/>
          <w:szCs w:val="23"/>
        </w:rPr>
      </w:pPr>
      <w:r w:rsidRPr="00183434">
        <w:rPr>
          <w:rFonts w:cs="Arial"/>
          <w:sz w:val="23"/>
          <w:szCs w:val="23"/>
        </w:rPr>
        <w:t xml:space="preserve">  </w:t>
      </w:r>
      <w:r w:rsidRPr="00183434">
        <w:rPr>
          <w:rFonts w:cs="Arial"/>
          <w:sz w:val="23"/>
          <w:szCs w:val="23"/>
        </w:rPr>
        <w:tab/>
      </w:r>
    </w:p>
    <w:p w14:paraId="48D107F7" w14:textId="77777777" w:rsidR="00386757" w:rsidRPr="00183434" w:rsidRDefault="00386757" w:rsidP="00183434">
      <w:pPr>
        <w:ind w:right="450"/>
        <w:jc w:val="both"/>
        <w:rPr>
          <w:rFonts w:cs="Arial"/>
          <w:b/>
          <w:sz w:val="23"/>
          <w:szCs w:val="23"/>
        </w:rPr>
      </w:pPr>
      <w:r w:rsidRPr="00183434">
        <w:rPr>
          <w:rFonts w:cs="Arial"/>
          <w:sz w:val="23"/>
          <w:szCs w:val="23"/>
        </w:rPr>
        <w:tab/>
      </w:r>
      <w:r w:rsidRPr="00183434">
        <w:rPr>
          <w:rFonts w:cs="Arial"/>
          <w:b/>
          <w:sz w:val="23"/>
          <w:szCs w:val="23"/>
        </w:rPr>
        <w:t>Insurance Provision</w:t>
      </w:r>
    </w:p>
    <w:p w14:paraId="162B7323" w14:textId="1D971CEC" w:rsidR="00386757" w:rsidRPr="00183434" w:rsidRDefault="00386757" w:rsidP="00183434">
      <w:pPr>
        <w:ind w:left="720"/>
        <w:jc w:val="both"/>
        <w:rPr>
          <w:rFonts w:cs="Arial"/>
          <w:sz w:val="23"/>
          <w:szCs w:val="23"/>
        </w:rPr>
      </w:pPr>
      <w:r w:rsidRPr="00183434">
        <w:rPr>
          <w:rFonts w:cs="Arial"/>
          <w:sz w:val="23"/>
          <w:szCs w:val="23"/>
        </w:rPr>
        <w:t xml:space="preserve">All major risks are insured </w:t>
      </w:r>
      <w:proofErr w:type="gramStart"/>
      <w:r w:rsidRPr="00183434">
        <w:rPr>
          <w:rFonts w:cs="Arial"/>
          <w:sz w:val="23"/>
          <w:szCs w:val="23"/>
        </w:rPr>
        <w:t>externally</w:t>
      </w:r>
      <w:proofErr w:type="gramEnd"/>
      <w:r w:rsidRPr="00183434">
        <w:rPr>
          <w:rFonts w:cs="Arial"/>
          <w:sz w:val="23"/>
          <w:szCs w:val="23"/>
        </w:rPr>
        <w:t xml:space="preserve"> and the Insurance Fund is used to finance the excesses on these policies. </w:t>
      </w:r>
    </w:p>
    <w:p w14:paraId="52195BF9" w14:textId="2C63265B" w:rsidR="0078470B" w:rsidRPr="00183434" w:rsidRDefault="0078470B" w:rsidP="00183434">
      <w:pPr>
        <w:jc w:val="both"/>
        <w:rPr>
          <w:rFonts w:cs="Arial"/>
          <w:sz w:val="23"/>
          <w:szCs w:val="23"/>
        </w:rPr>
      </w:pPr>
    </w:p>
    <w:p w14:paraId="49E5D5FA" w14:textId="00E732D2" w:rsidR="00386757" w:rsidRPr="00183434" w:rsidRDefault="0078470B" w:rsidP="00183434">
      <w:pPr>
        <w:jc w:val="both"/>
        <w:rPr>
          <w:rFonts w:cs="Arial"/>
          <w:b/>
          <w:sz w:val="23"/>
          <w:szCs w:val="23"/>
        </w:rPr>
      </w:pPr>
      <w:r w:rsidRPr="00183434">
        <w:rPr>
          <w:rFonts w:cs="Arial"/>
          <w:sz w:val="23"/>
          <w:szCs w:val="23"/>
        </w:rPr>
        <w:t>`</w:t>
      </w:r>
      <w:r w:rsidRPr="00183434">
        <w:rPr>
          <w:rFonts w:cs="Arial"/>
          <w:sz w:val="23"/>
          <w:szCs w:val="23"/>
        </w:rPr>
        <w:tab/>
      </w:r>
      <w:r w:rsidR="00386757" w:rsidRPr="00183434">
        <w:rPr>
          <w:rFonts w:cs="Arial"/>
          <w:b/>
          <w:sz w:val="23"/>
          <w:szCs w:val="23"/>
        </w:rPr>
        <w:t>MMI Provision</w:t>
      </w:r>
    </w:p>
    <w:p w14:paraId="114EB449" w14:textId="77777777" w:rsidR="00386757" w:rsidRPr="00183434" w:rsidRDefault="00386757" w:rsidP="00183434">
      <w:pPr>
        <w:ind w:left="720"/>
        <w:jc w:val="both"/>
        <w:rPr>
          <w:rFonts w:cs="Arial"/>
          <w:sz w:val="23"/>
          <w:szCs w:val="23"/>
        </w:rPr>
      </w:pPr>
      <w:r w:rsidRPr="00183434">
        <w:rPr>
          <w:rFonts w:cs="Arial"/>
          <w:sz w:val="23"/>
          <w:szCs w:val="23"/>
        </w:rPr>
        <w:t xml:space="preserve">The Council was insured by MMI until 1993 when the Company went into administration. In March 2012 the Supreme Court found against MMI in the Employers’ Liability Policy Trigger case.  The ruling means that MMI are liable to pay compensation for mesothelioma cases where they were the insurer at the date of exposure to asbestos, rather than the insurer at the time the disease develops.  The judgement will have significant implications for the Company and the Scheme Creditors, of which the Council is one. </w:t>
      </w:r>
    </w:p>
    <w:p w14:paraId="13670D8B" w14:textId="77777777" w:rsidR="00386757" w:rsidRPr="00183434" w:rsidRDefault="00386757" w:rsidP="00183434">
      <w:pPr>
        <w:jc w:val="both"/>
        <w:rPr>
          <w:rFonts w:cs="Arial"/>
          <w:sz w:val="23"/>
          <w:szCs w:val="23"/>
          <w:highlight w:val="cyan"/>
        </w:rPr>
      </w:pPr>
    </w:p>
    <w:p w14:paraId="737F49BC" w14:textId="77777777" w:rsidR="00386757" w:rsidRPr="00183434" w:rsidRDefault="00386757" w:rsidP="00183434">
      <w:pPr>
        <w:ind w:left="720"/>
        <w:jc w:val="both"/>
        <w:rPr>
          <w:rFonts w:cs="Arial"/>
          <w:sz w:val="23"/>
          <w:szCs w:val="23"/>
        </w:rPr>
      </w:pPr>
      <w:r w:rsidRPr="00183434">
        <w:rPr>
          <w:rFonts w:cs="Arial"/>
          <w:sz w:val="23"/>
          <w:szCs w:val="23"/>
        </w:rPr>
        <w:t>Because a solvent run-off is not possible, the Scheme of Arrangement has been triggered with claw back of some element of the claims paid since 1993 from the Council.</w:t>
      </w:r>
    </w:p>
    <w:p w14:paraId="753CB2FF" w14:textId="77777777" w:rsidR="00386757" w:rsidRPr="00183434" w:rsidRDefault="00386757" w:rsidP="00183434">
      <w:pPr>
        <w:jc w:val="both"/>
        <w:rPr>
          <w:rFonts w:cs="Arial"/>
          <w:sz w:val="23"/>
          <w:szCs w:val="23"/>
        </w:rPr>
      </w:pPr>
    </w:p>
    <w:p w14:paraId="34ABCAA9" w14:textId="5E8D5681" w:rsidR="00545C1D" w:rsidRPr="00183434" w:rsidRDefault="00386757" w:rsidP="00183434">
      <w:pPr>
        <w:ind w:left="720"/>
        <w:jc w:val="both"/>
        <w:rPr>
          <w:rFonts w:cs="Arial"/>
          <w:sz w:val="23"/>
          <w:szCs w:val="23"/>
        </w:rPr>
      </w:pPr>
      <w:r w:rsidRPr="00D57F11">
        <w:rPr>
          <w:rFonts w:cs="Arial"/>
          <w:sz w:val="23"/>
          <w:szCs w:val="23"/>
        </w:rPr>
        <w:t xml:space="preserve">As at the </w:t>
      </w:r>
      <w:proofErr w:type="gramStart"/>
      <w:r w:rsidRPr="00D57F11">
        <w:rPr>
          <w:rFonts w:cs="Arial"/>
          <w:sz w:val="23"/>
          <w:szCs w:val="23"/>
        </w:rPr>
        <w:t>31</w:t>
      </w:r>
      <w:r w:rsidRPr="00D57F11">
        <w:rPr>
          <w:rFonts w:cs="Arial"/>
          <w:sz w:val="23"/>
          <w:szCs w:val="23"/>
          <w:vertAlign w:val="superscript"/>
        </w:rPr>
        <w:t>st</w:t>
      </w:r>
      <w:proofErr w:type="gramEnd"/>
      <w:r w:rsidR="00BC13C8" w:rsidRPr="00D57F11">
        <w:rPr>
          <w:rFonts w:cs="Arial"/>
          <w:sz w:val="23"/>
          <w:szCs w:val="23"/>
        </w:rPr>
        <w:t xml:space="preserve"> March 20</w:t>
      </w:r>
      <w:r w:rsidR="00CF0764" w:rsidRPr="00D57F11">
        <w:rPr>
          <w:rFonts w:cs="Arial"/>
          <w:sz w:val="23"/>
          <w:szCs w:val="23"/>
        </w:rPr>
        <w:t>2</w:t>
      </w:r>
      <w:r w:rsidR="00970129" w:rsidRPr="00D57F11">
        <w:rPr>
          <w:rFonts w:cs="Arial"/>
          <w:sz w:val="23"/>
          <w:szCs w:val="23"/>
        </w:rPr>
        <w:t>6</w:t>
      </w:r>
      <w:r w:rsidRPr="00D57F11">
        <w:rPr>
          <w:rFonts w:cs="Arial"/>
          <w:sz w:val="23"/>
          <w:szCs w:val="23"/>
        </w:rPr>
        <w:t xml:space="preserve"> the Council’s claims paid and outstanding with MMI totalled £1.</w:t>
      </w:r>
      <w:r w:rsidR="00E41A7F" w:rsidRPr="00D57F11">
        <w:rPr>
          <w:rFonts w:cs="Arial"/>
          <w:sz w:val="23"/>
          <w:szCs w:val="23"/>
        </w:rPr>
        <w:t>2</w:t>
      </w:r>
      <w:r w:rsidRPr="00D57F11">
        <w:rPr>
          <w:rFonts w:cs="Arial"/>
          <w:sz w:val="23"/>
          <w:szCs w:val="23"/>
        </w:rPr>
        <w:t>m. The Council has been advised</w:t>
      </w:r>
      <w:r w:rsidR="00267347" w:rsidRPr="00D57F11">
        <w:rPr>
          <w:rFonts w:cs="Arial"/>
          <w:sz w:val="23"/>
          <w:szCs w:val="23"/>
        </w:rPr>
        <w:t xml:space="preserve"> that it will be liable to pay 2</w:t>
      </w:r>
      <w:r w:rsidRPr="00D57F11">
        <w:rPr>
          <w:rFonts w:cs="Arial"/>
          <w:sz w:val="23"/>
          <w:szCs w:val="23"/>
        </w:rPr>
        <w:t>5% of</w:t>
      </w:r>
      <w:r w:rsidRPr="00183434">
        <w:rPr>
          <w:rFonts w:cs="Arial"/>
          <w:sz w:val="23"/>
          <w:szCs w:val="23"/>
        </w:rPr>
        <w:t xml:space="preserve"> these claims and an appropriate provision has therefore been inc</w:t>
      </w:r>
      <w:r w:rsidR="000E0761" w:rsidRPr="00183434">
        <w:rPr>
          <w:rFonts w:cs="Arial"/>
          <w:sz w:val="23"/>
          <w:szCs w:val="23"/>
        </w:rPr>
        <w:t>luded in the accounts</w:t>
      </w:r>
      <w:r w:rsidRPr="00183434">
        <w:rPr>
          <w:rFonts w:cs="Arial"/>
          <w:sz w:val="23"/>
          <w:szCs w:val="23"/>
        </w:rPr>
        <w:t>.</w:t>
      </w:r>
    </w:p>
    <w:p w14:paraId="3D8A9022" w14:textId="77777777" w:rsidR="000E0761" w:rsidRPr="00183434" w:rsidRDefault="000E0761" w:rsidP="00183434">
      <w:pPr>
        <w:ind w:left="720"/>
        <w:jc w:val="both"/>
        <w:rPr>
          <w:rFonts w:cs="Arial"/>
          <w:sz w:val="23"/>
          <w:szCs w:val="23"/>
        </w:rPr>
      </w:pPr>
    </w:p>
    <w:p w14:paraId="07C840EC" w14:textId="77777777" w:rsidR="000E0761" w:rsidRPr="00183434" w:rsidRDefault="000E0761" w:rsidP="00183434">
      <w:pPr>
        <w:ind w:left="720"/>
        <w:jc w:val="both"/>
        <w:rPr>
          <w:rFonts w:cs="Arial"/>
          <w:b/>
          <w:sz w:val="23"/>
          <w:szCs w:val="23"/>
        </w:rPr>
      </w:pPr>
      <w:proofErr w:type="gramStart"/>
      <w:r w:rsidRPr="00183434">
        <w:rPr>
          <w:rFonts w:cs="Arial"/>
          <w:b/>
          <w:sz w:val="23"/>
          <w:szCs w:val="23"/>
        </w:rPr>
        <w:t>Non Domestic</w:t>
      </w:r>
      <w:proofErr w:type="gramEnd"/>
      <w:r w:rsidRPr="00183434">
        <w:rPr>
          <w:rFonts w:cs="Arial"/>
          <w:b/>
          <w:sz w:val="23"/>
          <w:szCs w:val="23"/>
        </w:rPr>
        <w:t xml:space="preserve"> Rate Appeals</w:t>
      </w:r>
    </w:p>
    <w:p w14:paraId="286F45AC" w14:textId="77777777" w:rsidR="000E0761" w:rsidRPr="00183434" w:rsidRDefault="000E0761" w:rsidP="00183434">
      <w:pPr>
        <w:ind w:left="720"/>
        <w:jc w:val="both"/>
        <w:rPr>
          <w:rFonts w:cs="Arial"/>
          <w:sz w:val="23"/>
          <w:szCs w:val="23"/>
        </w:rPr>
      </w:pPr>
      <w:r w:rsidRPr="00183434">
        <w:rPr>
          <w:rFonts w:cs="Arial"/>
          <w:sz w:val="23"/>
          <w:szCs w:val="23"/>
        </w:rPr>
        <w:t>The introduction of the business rates retention scheme from 1</w:t>
      </w:r>
      <w:r w:rsidRPr="00183434">
        <w:rPr>
          <w:rFonts w:cs="Arial"/>
          <w:sz w:val="23"/>
          <w:szCs w:val="23"/>
          <w:vertAlign w:val="superscript"/>
        </w:rPr>
        <w:t>st</w:t>
      </w:r>
      <w:r w:rsidRPr="00183434">
        <w:rPr>
          <w:rFonts w:cs="Arial"/>
          <w:sz w:val="23"/>
          <w:szCs w:val="23"/>
        </w:rPr>
        <w:t xml:space="preserve"> April 2013, means that </w:t>
      </w:r>
      <w:r w:rsidR="00723E42" w:rsidRPr="00183434">
        <w:rPr>
          <w:rFonts w:cs="Arial"/>
          <w:sz w:val="23"/>
          <w:szCs w:val="23"/>
        </w:rPr>
        <w:t xml:space="preserve">a proportion of </w:t>
      </w:r>
      <w:r w:rsidRPr="00183434">
        <w:rPr>
          <w:rFonts w:cs="Arial"/>
          <w:sz w:val="23"/>
          <w:szCs w:val="23"/>
        </w:rPr>
        <w:t>successful rating appeals must be met by the local authority. Previously they were met by central government. A provision has been established to recognise the liability.</w:t>
      </w:r>
      <w:r w:rsidR="005F5946" w:rsidRPr="00183434">
        <w:rPr>
          <w:rFonts w:cs="Arial"/>
          <w:sz w:val="23"/>
          <w:szCs w:val="23"/>
        </w:rPr>
        <w:t xml:space="preserve"> Due to the complexity and uncertainties surrounding the calculation of the provision</w:t>
      </w:r>
      <w:r w:rsidR="006406B5" w:rsidRPr="00183434">
        <w:rPr>
          <w:rFonts w:cs="Arial"/>
          <w:sz w:val="23"/>
          <w:szCs w:val="23"/>
        </w:rPr>
        <w:t>,</w:t>
      </w:r>
      <w:r w:rsidR="005F5946" w:rsidRPr="00183434">
        <w:rPr>
          <w:rFonts w:cs="Arial"/>
          <w:sz w:val="23"/>
          <w:szCs w:val="23"/>
        </w:rPr>
        <w:t xml:space="preserve"> the Council engages the services </w:t>
      </w:r>
      <w:r w:rsidR="00EE4F1F" w:rsidRPr="00183434">
        <w:rPr>
          <w:rFonts w:cs="Arial"/>
          <w:sz w:val="23"/>
          <w:szCs w:val="23"/>
        </w:rPr>
        <w:t xml:space="preserve">of Inform PCI and the Analyse Local system. </w:t>
      </w:r>
    </w:p>
    <w:p w14:paraId="3DB455B2" w14:textId="57A32EDB" w:rsidR="009B127F" w:rsidRPr="00183434" w:rsidRDefault="009B127F" w:rsidP="00183434">
      <w:pPr>
        <w:jc w:val="both"/>
        <w:rPr>
          <w:rFonts w:cs="Arial"/>
          <w:b/>
          <w:sz w:val="23"/>
          <w:szCs w:val="23"/>
        </w:rPr>
      </w:pPr>
    </w:p>
    <w:p w14:paraId="1365C26F" w14:textId="117B2E85" w:rsidR="00386757" w:rsidRPr="00183434" w:rsidRDefault="00176F40" w:rsidP="00183434">
      <w:pPr>
        <w:jc w:val="both"/>
        <w:rPr>
          <w:rFonts w:cs="Arial"/>
          <w:b/>
          <w:sz w:val="23"/>
          <w:szCs w:val="23"/>
          <w:u w:val="single"/>
        </w:rPr>
      </w:pPr>
      <w:r w:rsidRPr="00183434">
        <w:rPr>
          <w:rFonts w:cs="Arial"/>
          <w:b/>
          <w:sz w:val="23"/>
          <w:szCs w:val="23"/>
        </w:rPr>
        <w:t>3</w:t>
      </w:r>
      <w:r w:rsidR="001B2752" w:rsidRPr="00183434">
        <w:rPr>
          <w:rFonts w:cs="Arial"/>
          <w:b/>
          <w:sz w:val="23"/>
          <w:szCs w:val="23"/>
        </w:rPr>
        <w:t>5</w:t>
      </w:r>
      <w:r w:rsidR="00386757" w:rsidRPr="00183434">
        <w:rPr>
          <w:rFonts w:cs="Arial"/>
          <w:sz w:val="23"/>
          <w:szCs w:val="23"/>
        </w:rPr>
        <w:t xml:space="preserve">.     </w:t>
      </w:r>
      <w:r w:rsidR="00386757" w:rsidRPr="00183434">
        <w:rPr>
          <w:rFonts w:cs="Arial"/>
          <w:b/>
          <w:sz w:val="23"/>
          <w:szCs w:val="23"/>
        </w:rPr>
        <w:t xml:space="preserve"> </w:t>
      </w:r>
      <w:r w:rsidR="00386757" w:rsidRPr="00183434">
        <w:rPr>
          <w:rFonts w:cs="Arial"/>
          <w:b/>
          <w:sz w:val="23"/>
          <w:szCs w:val="23"/>
          <w:u w:val="single"/>
        </w:rPr>
        <w:t>FINANCIAL INSTRUMENTS BALANCES</w:t>
      </w:r>
    </w:p>
    <w:p w14:paraId="41E0C6F5" w14:textId="77777777" w:rsidR="00386757" w:rsidRPr="00183434" w:rsidRDefault="00386757" w:rsidP="00183434">
      <w:pPr>
        <w:jc w:val="both"/>
        <w:rPr>
          <w:rFonts w:cs="Arial"/>
          <w:b/>
          <w:sz w:val="23"/>
          <w:szCs w:val="23"/>
        </w:rPr>
      </w:pPr>
    </w:p>
    <w:p w14:paraId="673D8C67" w14:textId="77777777" w:rsidR="009B1EDC" w:rsidRPr="00183434" w:rsidRDefault="009B1EDC" w:rsidP="00183434">
      <w:pPr>
        <w:pStyle w:val="BodyTextIndent2"/>
        <w:jc w:val="both"/>
        <w:rPr>
          <w:rFonts w:cs="Arial"/>
          <w:sz w:val="23"/>
          <w:szCs w:val="23"/>
        </w:rPr>
      </w:pPr>
      <w:r w:rsidRPr="00183434">
        <w:rPr>
          <w:rFonts w:cs="Arial"/>
          <w:sz w:val="23"/>
          <w:szCs w:val="23"/>
        </w:rPr>
        <w:t>The following categories of financial instrument are carried in the Balance Sheet:</w:t>
      </w:r>
    </w:p>
    <w:p w14:paraId="3F403EBC" w14:textId="77777777" w:rsidR="009B1EDC" w:rsidRPr="00183434" w:rsidRDefault="009B1EDC" w:rsidP="00183434">
      <w:pPr>
        <w:pStyle w:val="BodyTextIndent2"/>
        <w:ind w:left="0"/>
        <w:jc w:val="both"/>
        <w:rPr>
          <w:rFonts w:cs="Arial"/>
          <w:sz w:val="23"/>
          <w:szCs w:val="23"/>
        </w:rPr>
      </w:pPr>
    </w:p>
    <w:p w14:paraId="324056DE" w14:textId="2EE4BA00" w:rsidR="00374000" w:rsidRPr="00183434" w:rsidRDefault="00374000" w:rsidP="00183434">
      <w:pPr>
        <w:pStyle w:val="BodyTextIndent2"/>
        <w:ind w:left="0" w:firstLine="720"/>
        <w:jc w:val="both"/>
        <w:rPr>
          <w:rFonts w:cs="Arial"/>
          <w:sz w:val="23"/>
          <w:szCs w:val="23"/>
        </w:rPr>
      </w:pPr>
      <w:r w:rsidRPr="00183434">
        <w:rPr>
          <w:rFonts w:cs="Arial"/>
          <w:sz w:val="23"/>
          <w:szCs w:val="23"/>
        </w:rPr>
        <w:object w:dxaOrig="10600" w:dyaOrig="7167" w14:anchorId="2DF8AB61">
          <v:shape id="_x0000_i1167" type="#_x0000_t75" style="width:430.25pt;height:290.9pt" o:ole="">
            <v:imagedata r:id="rId133" o:title=""/>
          </v:shape>
          <o:OLEObject Type="Link" ProgID="Excel.Sheet.12" ShapeID="_x0000_i1167" DrawAspect="Content" r:id="rId134" UpdateMode="Always">
            <o:LinkType>EnhancedMetaFile</o:LinkType>
            <o:LockedField>false</o:LockedField>
            <o:FieldCodes>\* MERGEFORMAT</o:FieldCodes>
          </o:OLEObject>
        </w:object>
      </w:r>
    </w:p>
    <w:p w14:paraId="12AB5D58" w14:textId="77777777" w:rsidR="00374000" w:rsidRPr="00183434" w:rsidRDefault="00374000" w:rsidP="00183434">
      <w:pPr>
        <w:pStyle w:val="BodyTextIndent2"/>
        <w:jc w:val="both"/>
        <w:rPr>
          <w:rFonts w:cs="Arial"/>
          <w:sz w:val="23"/>
          <w:szCs w:val="23"/>
        </w:rPr>
      </w:pPr>
    </w:p>
    <w:p w14:paraId="5C2CCEE9" w14:textId="7324C9F0" w:rsidR="00374000" w:rsidRPr="00183434" w:rsidRDefault="00374000" w:rsidP="00183434">
      <w:pPr>
        <w:pStyle w:val="BodyTextIndent2"/>
        <w:ind w:left="0" w:firstLine="720"/>
        <w:jc w:val="both"/>
        <w:rPr>
          <w:rFonts w:cs="Arial"/>
          <w:sz w:val="23"/>
          <w:szCs w:val="23"/>
          <w:highlight w:val="cyan"/>
        </w:rPr>
      </w:pPr>
    </w:p>
    <w:p w14:paraId="43C7C74C" w14:textId="162E1EA2" w:rsidR="009B1EDC" w:rsidRPr="00183434" w:rsidRDefault="009B1EDC" w:rsidP="00183434">
      <w:pPr>
        <w:jc w:val="both"/>
        <w:rPr>
          <w:rFonts w:cs="Arial"/>
          <w:b/>
          <w:sz w:val="23"/>
          <w:szCs w:val="23"/>
          <w:u w:val="single"/>
        </w:rPr>
      </w:pPr>
      <w:r w:rsidRPr="00183434">
        <w:rPr>
          <w:rFonts w:cs="Arial"/>
          <w:b/>
          <w:sz w:val="23"/>
          <w:szCs w:val="23"/>
        </w:rPr>
        <w:t>3</w:t>
      </w:r>
      <w:r w:rsidR="001B2752" w:rsidRPr="00183434">
        <w:rPr>
          <w:rFonts w:cs="Arial"/>
          <w:b/>
          <w:sz w:val="23"/>
          <w:szCs w:val="23"/>
        </w:rPr>
        <w:t>6</w:t>
      </w:r>
      <w:r w:rsidRPr="00183434">
        <w:rPr>
          <w:rFonts w:cs="Arial"/>
          <w:sz w:val="23"/>
          <w:szCs w:val="23"/>
        </w:rPr>
        <w:t>.</w:t>
      </w:r>
      <w:r w:rsidRPr="00183434">
        <w:rPr>
          <w:rFonts w:cs="Arial"/>
          <w:b/>
          <w:sz w:val="23"/>
          <w:szCs w:val="23"/>
        </w:rPr>
        <w:t xml:space="preserve">    </w:t>
      </w:r>
      <w:r w:rsidR="009B3677" w:rsidRPr="00183434">
        <w:rPr>
          <w:rFonts w:cs="Arial"/>
          <w:b/>
          <w:sz w:val="23"/>
          <w:szCs w:val="23"/>
        </w:rPr>
        <w:tab/>
      </w:r>
      <w:r w:rsidRPr="00183434">
        <w:rPr>
          <w:rFonts w:cs="Arial"/>
          <w:b/>
          <w:sz w:val="23"/>
          <w:szCs w:val="23"/>
          <w:u w:val="single"/>
        </w:rPr>
        <w:t>FINANCIAL INSTRUMENTS INCOME, EXPENSE, GAINS/LOSSES</w:t>
      </w:r>
    </w:p>
    <w:p w14:paraId="62358034" w14:textId="77777777" w:rsidR="009B1EDC" w:rsidRPr="00183434" w:rsidRDefault="009B1EDC" w:rsidP="00183434">
      <w:pPr>
        <w:jc w:val="both"/>
        <w:rPr>
          <w:rFonts w:cs="Arial"/>
          <w:b/>
          <w:sz w:val="23"/>
          <w:szCs w:val="23"/>
          <w:u w:val="single"/>
        </w:rPr>
      </w:pPr>
    </w:p>
    <w:p w14:paraId="398443AD" w14:textId="77777777" w:rsidR="009B1EDC" w:rsidRDefault="009B1EDC" w:rsidP="00183434">
      <w:pPr>
        <w:pStyle w:val="BodyTextIndent2"/>
        <w:jc w:val="both"/>
        <w:rPr>
          <w:rFonts w:cs="Arial"/>
          <w:sz w:val="23"/>
          <w:szCs w:val="23"/>
        </w:rPr>
      </w:pPr>
      <w:r w:rsidRPr="00183434">
        <w:rPr>
          <w:rFonts w:cs="Arial"/>
          <w:sz w:val="23"/>
          <w:szCs w:val="23"/>
        </w:rPr>
        <w:t>The gains and losses recognised in the Comprehensive Income &amp; Expenditure Statement in relation to financial instruments are made up as follows:</w:t>
      </w:r>
    </w:p>
    <w:p w14:paraId="0E55EE94" w14:textId="77777777" w:rsidR="00D57F11" w:rsidRDefault="00D57F11" w:rsidP="00183434">
      <w:pPr>
        <w:pStyle w:val="BodyTextIndent2"/>
        <w:jc w:val="both"/>
        <w:rPr>
          <w:rFonts w:cs="Arial"/>
          <w:sz w:val="23"/>
          <w:szCs w:val="23"/>
        </w:rPr>
      </w:pPr>
    </w:p>
    <w:p w14:paraId="6AB9FBA6" w14:textId="77777777" w:rsidR="00D57F11" w:rsidRPr="00183434" w:rsidRDefault="00D57F11" w:rsidP="00183434">
      <w:pPr>
        <w:pStyle w:val="BodyTextIndent2"/>
        <w:jc w:val="both"/>
        <w:rPr>
          <w:rFonts w:cs="Arial"/>
          <w:sz w:val="23"/>
          <w:szCs w:val="23"/>
        </w:rPr>
      </w:pPr>
    </w:p>
    <w:p w14:paraId="22251632" w14:textId="77777777" w:rsidR="009B1EDC" w:rsidRPr="00183434" w:rsidRDefault="009B1EDC" w:rsidP="00183434">
      <w:pPr>
        <w:jc w:val="both"/>
        <w:rPr>
          <w:rFonts w:cs="Arial"/>
          <w:b/>
          <w:sz w:val="23"/>
          <w:szCs w:val="23"/>
        </w:rPr>
      </w:pPr>
    </w:p>
    <w:p w14:paraId="04CCF317" w14:textId="77777777" w:rsidR="00374000" w:rsidRPr="00183434" w:rsidRDefault="00374000" w:rsidP="00183434">
      <w:pPr>
        <w:jc w:val="both"/>
        <w:rPr>
          <w:rFonts w:cs="Arial"/>
          <w:b/>
          <w:sz w:val="23"/>
          <w:szCs w:val="23"/>
        </w:rPr>
      </w:pPr>
    </w:p>
    <w:p w14:paraId="34505648" w14:textId="77777777" w:rsidR="00374000" w:rsidRPr="00183434" w:rsidRDefault="00374000" w:rsidP="00183434">
      <w:pPr>
        <w:jc w:val="both"/>
        <w:rPr>
          <w:rFonts w:cs="Arial"/>
          <w:b/>
          <w:sz w:val="23"/>
          <w:szCs w:val="23"/>
        </w:rPr>
      </w:pPr>
    </w:p>
    <w:p w14:paraId="7D53F5EF" w14:textId="77777777" w:rsidR="00374000" w:rsidRPr="00183434" w:rsidRDefault="00374000" w:rsidP="00183434">
      <w:pPr>
        <w:jc w:val="both"/>
        <w:rPr>
          <w:rFonts w:cs="Arial"/>
          <w:b/>
          <w:sz w:val="23"/>
          <w:szCs w:val="23"/>
        </w:rPr>
      </w:pPr>
    </w:p>
    <w:p w14:paraId="650A116A" w14:textId="77777777" w:rsidR="00374000" w:rsidRPr="00183434" w:rsidRDefault="00374000" w:rsidP="00183434">
      <w:pPr>
        <w:jc w:val="both"/>
        <w:rPr>
          <w:rFonts w:cs="Arial"/>
          <w:b/>
          <w:sz w:val="23"/>
          <w:szCs w:val="23"/>
        </w:rPr>
      </w:pPr>
    </w:p>
    <w:p w14:paraId="03D1478C" w14:textId="4981DBBB" w:rsidR="009B1EDC" w:rsidRPr="00183434" w:rsidRDefault="00374000" w:rsidP="00183434">
      <w:pPr>
        <w:ind w:left="142" w:firstLine="578"/>
        <w:jc w:val="both"/>
        <w:rPr>
          <w:rFonts w:cs="Arial"/>
          <w:b/>
          <w:sz w:val="23"/>
          <w:szCs w:val="23"/>
          <w:highlight w:val="cyan"/>
        </w:rPr>
      </w:pPr>
      <w:r w:rsidRPr="00183434">
        <w:rPr>
          <w:rFonts w:cs="Arial"/>
          <w:b/>
          <w:sz w:val="23"/>
          <w:szCs w:val="23"/>
        </w:rPr>
        <w:object w:dxaOrig="9933" w:dyaOrig="6913" w14:anchorId="7AC2915B">
          <v:shape id="_x0000_i1171" type="#_x0000_t75" style="width:422.8pt;height:294.35pt" o:ole="">
            <v:imagedata r:id="rId135" o:title=""/>
          </v:shape>
          <o:OLEObject Type="Link" ProgID="Excel.Sheet.12" ShapeID="_x0000_i1171" DrawAspect="Content" r:id="rId136" UpdateMode="Always">
            <o:LinkType>EnhancedMetaFile</o:LinkType>
            <o:LockedField>false</o:LockedField>
            <o:FieldCodes>\* MERGEFORMAT</o:FieldCodes>
          </o:OLEObject>
        </w:object>
      </w:r>
    </w:p>
    <w:p w14:paraId="0EB26F00" w14:textId="77777777" w:rsidR="009B1EDC" w:rsidRPr="00183434" w:rsidRDefault="009B1EDC" w:rsidP="00183434">
      <w:pPr>
        <w:jc w:val="both"/>
        <w:rPr>
          <w:rFonts w:cs="Arial"/>
          <w:b/>
          <w:sz w:val="23"/>
          <w:szCs w:val="23"/>
          <w:highlight w:val="cyan"/>
        </w:rPr>
      </w:pPr>
    </w:p>
    <w:p w14:paraId="6E58FBC2" w14:textId="77777777" w:rsidR="009B1EDC" w:rsidRPr="00183434" w:rsidRDefault="009B1EDC" w:rsidP="00183434">
      <w:pPr>
        <w:jc w:val="both"/>
        <w:rPr>
          <w:rFonts w:cs="Arial"/>
          <w:b/>
          <w:sz w:val="23"/>
          <w:szCs w:val="23"/>
          <w:highlight w:val="cyan"/>
        </w:rPr>
      </w:pPr>
    </w:p>
    <w:p w14:paraId="66BF3A7C" w14:textId="77777777" w:rsidR="009B1EDC" w:rsidRPr="00183434" w:rsidRDefault="009B1EDC" w:rsidP="00183434">
      <w:pPr>
        <w:jc w:val="both"/>
        <w:rPr>
          <w:rFonts w:cs="Arial"/>
          <w:b/>
          <w:sz w:val="23"/>
          <w:szCs w:val="23"/>
          <w:u w:val="single"/>
        </w:rPr>
      </w:pPr>
      <w:r w:rsidRPr="00183434">
        <w:rPr>
          <w:rFonts w:cs="Arial"/>
          <w:b/>
          <w:sz w:val="23"/>
          <w:szCs w:val="23"/>
        </w:rPr>
        <w:t>3</w:t>
      </w:r>
      <w:r w:rsidR="001B2752" w:rsidRPr="00183434">
        <w:rPr>
          <w:rFonts w:cs="Arial"/>
          <w:b/>
          <w:sz w:val="23"/>
          <w:szCs w:val="23"/>
        </w:rPr>
        <w:t>7</w:t>
      </w:r>
      <w:r w:rsidRPr="00183434">
        <w:rPr>
          <w:rFonts w:cs="Arial"/>
          <w:sz w:val="23"/>
          <w:szCs w:val="23"/>
        </w:rPr>
        <w:t>.</w:t>
      </w:r>
      <w:r w:rsidRPr="00183434">
        <w:rPr>
          <w:rFonts w:cs="Arial"/>
          <w:b/>
          <w:sz w:val="23"/>
          <w:szCs w:val="23"/>
        </w:rPr>
        <w:t xml:space="preserve">     </w:t>
      </w:r>
      <w:r w:rsidRPr="00183434">
        <w:rPr>
          <w:rFonts w:cs="Arial"/>
          <w:b/>
          <w:sz w:val="23"/>
          <w:szCs w:val="23"/>
          <w:u w:val="single"/>
        </w:rPr>
        <w:t>FAIR VALUE OF FINANCIAL INSTRUMENTS</w:t>
      </w:r>
    </w:p>
    <w:p w14:paraId="51338E5F" w14:textId="77777777" w:rsidR="009B1EDC" w:rsidRPr="00183434" w:rsidRDefault="009B1EDC" w:rsidP="00183434">
      <w:pPr>
        <w:jc w:val="both"/>
        <w:rPr>
          <w:rFonts w:cs="Arial"/>
          <w:b/>
          <w:sz w:val="23"/>
          <w:szCs w:val="23"/>
          <w:u w:val="single"/>
        </w:rPr>
      </w:pPr>
    </w:p>
    <w:p w14:paraId="41E9BEDC" w14:textId="77777777" w:rsidR="009B1EDC" w:rsidRPr="00183434" w:rsidRDefault="009B1EDC" w:rsidP="00183434">
      <w:pPr>
        <w:ind w:left="720"/>
        <w:jc w:val="both"/>
        <w:rPr>
          <w:rFonts w:cs="Arial"/>
          <w:sz w:val="23"/>
          <w:szCs w:val="23"/>
          <w:u w:val="single"/>
        </w:rPr>
      </w:pPr>
      <w:r w:rsidRPr="00183434">
        <w:rPr>
          <w:rFonts w:cs="Arial"/>
          <w:sz w:val="23"/>
          <w:szCs w:val="23"/>
          <w:u w:val="single"/>
        </w:rPr>
        <w:t>Fair Value of Financial Assets</w:t>
      </w:r>
    </w:p>
    <w:p w14:paraId="3F4BCA6D" w14:textId="77777777" w:rsidR="009B1EDC" w:rsidRPr="00183434" w:rsidRDefault="009B1EDC" w:rsidP="00183434">
      <w:pPr>
        <w:ind w:left="720"/>
        <w:jc w:val="both"/>
        <w:rPr>
          <w:rFonts w:cs="Arial"/>
          <w:sz w:val="23"/>
          <w:szCs w:val="23"/>
          <w:u w:val="single"/>
        </w:rPr>
      </w:pPr>
    </w:p>
    <w:p w14:paraId="59A17C88" w14:textId="77777777" w:rsidR="009B1EDC" w:rsidRPr="00183434" w:rsidRDefault="009B1EDC" w:rsidP="00183434">
      <w:pPr>
        <w:ind w:left="720"/>
        <w:jc w:val="both"/>
        <w:rPr>
          <w:rFonts w:cs="Arial"/>
          <w:sz w:val="23"/>
          <w:szCs w:val="23"/>
        </w:rPr>
      </w:pPr>
      <w:r w:rsidRPr="00183434">
        <w:rPr>
          <w:rFonts w:cs="Arial"/>
          <w:sz w:val="23"/>
          <w:szCs w:val="23"/>
        </w:rPr>
        <w:t>Some of the Council’s financial assets are measured at fair value on a recurring basis and are described in the table below, including the valuation techniques used to measure them.</w:t>
      </w:r>
    </w:p>
    <w:p w14:paraId="23334B71" w14:textId="77777777" w:rsidR="00F832C1" w:rsidRPr="00183434" w:rsidRDefault="00F832C1" w:rsidP="00183434">
      <w:pPr>
        <w:ind w:left="720"/>
        <w:jc w:val="both"/>
        <w:rPr>
          <w:rFonts w:cs="Arial"/>
          <w:sz w:val="23"/>
          <w:szCs w:val="23"/>
          <w:highlight w:val="cyan"/>
        </w:rPr>
      </w:pPr>
    </w:p>
    <w:p w14:paraId="01E20652" w14:textId="77777777" w:rsidR="008D043F" w:rsidRPr="00183434" w:rsidRDefault="008D043F" w:rsidP="00183434">
      <w:pPr>
        <w:ind w:left="720"/>
        <w:jc w:val="both"/>
        <w:rPr>
          <w:rFonts w:cs="Arial"/>
          <w:sz w:val="23"/>
          <w:szCs w:val="23"/>
        </w:rPr>
      </w:pPr>
    </w:p>
    <w:p w14:paraId="57192A37" w14:textId="66840418" w:rsidR="009B1EDC" w:rsidRPr="00183434" w:rsidRDefault="0023632A" w:rsidP="00183434">
      <w:pPr>
        <w:ind w:firstLine="720"/>
        <w:jc w:val="both"/>
        <w:rPr>
          <w:rFonts w:cs="Arial"/>
          <w:sz w:val="23"/>
          <w:szCs w:val="23"/>
          <w:highlight w:val="cyan"/>
        </w:rPr>
      </w:pPr>
      <w:r w:rsidRPr="00183434">
        <w:rPr>
          <w:rFonts w:cs="Arial"/>
          <w:sz w:val="23"/>
          <w:szCs w:val="23"/>
        </w:rPr>
        <w:object w:dxaOrig="10797" w:dyaOrig="3106" w14:anchorId="2AC636ED">
          <v:shape id="_x0000_i1085" type="#_x0000_t75" style="width:429.1pt;height:123.85pt" o:ole="">
            <v:imagedata r:id="rId137" o:title=""/>
          </v:shape>
          <o:OLEObject Type="Link" ProgID="Excel.Sheet.12" ShapeID="_x0000_i1085" DrawAspect="Content" r:id="rId138" UpdateMode="Always">
            <o:LinkType>EnhancedMetaFile</o:LinkType>
            <o:LockedField>false</o:LockedField>
            <o:FieldCodes>\* MERGEFORMAT</o:FieldCodes>
          </o:OLEObject>
        </w:object>
      </w:r>
    </w:p>
    <w:p w14:paraId="7B75632F" w14:textId="77777777" w:rsidR="00C1676E" w:rsidRPr="00183434" w:rsidRDefault="00C1676E" w:rsidP="00183434">
      <w:pPr>
        <w:ind w:left="720"/>
        <w:jc w:val="both"/>
        <w:rPr>
          <w:rFonts w:cs="Arial"/>
          <w:sz w:val="23"/>
          <w:szCs w:val="23"/>
        </w:rPr>
      </w:pPr>
    </w:p>
    <w:p w14:paraId="616B05CC" w14:textId="77777777" w:rsidR="009B1EDC" w:rsidRPr="00183434" w:rsidRDefault="009B1EDC" w:rsidP="00183434">
      <w:pPr>
        <w:ind w:left="720"/>
        <w:jc w:val="both"/>
        <w:rPr>
          <w:rFonts w:cs="Arial"/>
          <w:sz w:val="23"/>
          <w:szCs w:val="23"/>
        </w:rPr>
      </w:pPr>
      <w:r w:rsidRPr="00183434">
        <w:rPr>
          <w:rFonts w:cs="Arial"/>
          <w:sz w:val="23"/>
          <w:szCs w:val="23"/>
        </w:rPr>
        <w:t>There were no transfers between input levels during the year and no changes in valuation techniques.</w:t>
      </w:r>
    </w:p>
    <w:p w14:paraId="2873F239" w14:textId="77777777" w:rsidR="008D043F" w:rsidRPr="00183434" w:rsidRDefault="008D043F" w:rsidP="00183434">
      <w:pPr>
        <w:ind w:left="720"/>
        <w:jc w:val="both"/>
        <w:rPr>
          <w:rFonts w:cs="Arial"/>
          <w:sz w:val="23"/>
          <w:szCs w:val="23"/>
        </w:rPr>
      </w:pPr>
    </w:p>
    <w:p w14:paraId="03204C4D" w14:textId="77777777" w:rsidR="009B1EDC" w:rsidRPr="00183434" w:rsidRDefault="009B1EDC" w:rsidP="00183434">
      <w:pPr>
        <w:ind w:left="720"/>
        <w:jc w:val="both"/>
        <w:rPr>
          <w:rFonts w:cs="Arial"/>
          <w:sz w:val="23"/>
          <w:szCs w:val="23"/>
          <w:u w:val="single"/>
        </w:rPr>
      </w:pPr>
      <w:r w:rsidRPr="00183434">
        <w:rPr>
          <w:rFonts w:cs="Arial"/>
          <w:sz w:val="23"/>
          <w:szCs w:val="23"/>
          <w:u w:val="single"/>
        </w:rPr>
        <w:t>The Fair Values of Financial Assets and Financial Liabilities that are Not Measured at Fair Value but for which Fair Value Disclosures are Required)</w:t>
      </w:r>
    </w:p>
    <w:p w14:paraId="091BE66A" w14:textId="77777777" w:rsidR="009B1EDC" w:rsidRPr="00183434" w:rsidRDefault="009B1EDC" w:rsidP="00183434">
      <w:pPr>
        <w:pStyle w:val="BodyTextIndent2"/>
        <w:jc w:val="both"/>
        <w:rPr>
          <w:rFonts w:cs="Arial"/>
          <w:sz w:val="23"/>
          <w:szCs w:val="23"/>
        </w:rPr>
      </w:pPr>
    </w:p>
    <w:p w14:paraId="0E632C15" w14:textId="77777777" w:rsidR="009B1EDC" w:rsidRPr="00183434" w:rsidRDefault="009B1EDC" w:rsidP="00183434">
      <w:pPr>
        <w:pStyle w:val="BodyTextIndent2"/>
        <w:jc w:val="both"/>
        <w:rPr>
          <w:rFonts w:cs="Arial"/>
          <w:sz w:val="23"/>
          <w:szCs w:val="23"/>
        </w:rPr>
      </w:pPr>
      <w:r w:rsidRPr="00183434">
        <w:rPr>
          <w:rFonts w:cs="Arial"/>
          <w:sz w:val="23"/>
          <w:szCs w:val="23"/>
        </w:rPr>
        <w:t>Except for the financial assets carried at fair value (described in the table above), all other financial liabilities and financial assets held by the Council are carried in the balance sheet at amortised cost. Their fair values are calculated as follows:</w:t>
      </w:r>
    </w:p>
    <w:p w14:paraId="0D9ED540" w14:textId="77777777" w:rsidR="007C460D" w:rsidRPr="00183434" w:rsidRDefault="007C460D" w:rsidP="00183434">
      <w:pPr>
        <w:pStyle w:val="BodyTextIndent2"/>
        <w:jc w:val="both"/>
        <w:rPr>
          <w:rFonts w:cs="Arial"/>
          <w:sz w:val="23"/>
          <w:szCs w:val="23"/>
          <w:highlight w:val="cyan"/>
        </w:rPr>
      </w:pPr>
    </w:p>
    <w:p w14:paraId="51237BE8" w14:textId="77777777" w:rsidR="00EF3467" w:rsidRPr="00183434" w:rsidRDefault="00EF3467" w:rsidP="00183434">
      <w:pPr>
        <w:pStyle w:val="BodyTextIndent2"/>
        <w:jc w:val="both"/>
        <w:rPr>
          <w:rFonts w:cs="Arial"/>
          <w:sz w:val="23"/>
          <w:szCs w:val="23"/>
          <w:highlight w:val="cyan"/>
        </w:rPr>
      </w:pPr>
    </w:p>
    <w:p w14:paraId="2167A240" w14:textId="7EFADA5E" w:rsidR="000D6C40" w:rsidRPr="00183434" w:rsidRDefault="0023632A" w:rsidP="00183434">
      <w:pPr>
        <w:pStyle w:val="BodyTextIndent2"/>
        <w:jc w:val="both"/>
        <w:rPr>
          <w:rFonts w:cs="Arial"/>
          <w:sz w:val="23"/>
          <w:szCs w:val="23"/>
        </w:rPr>
      </w:pPr>
      <w:r w:rsidRPr="00183434">
        <w:rPr>
          <w:rFonts w:cs="Arial"/>
          <w:sz w:val="23"/>
          <w:szCs w:val="23"/>
        </w:rPr>
        <w:object w:dxaOrig="7910" w:dyaOrig="1318" w14:anchorId="5CFA7448">
          <v:shape id="_x0000_i1086" type="#_x0000_t75" style="width:444.65pt;height:74.3pt" o:ole="">
            <v:imagedata r:id="rId139" o:title=""/>
          </v:shape>
          <o:OLEObject Type="Link" ProgID="Excel.Sheet.12" ShapeID="_x0000_i1086" DrawAspect="Content" r:id="rId140" UpdateMode="Always">
            <o:LinkType>EnhancedMetaFile</o:LinkType>
            <o:LockedField>false</o:LockedField>
            <o:FieldCodes>\* MERGEFORMAT</o:FieldCodes>
          </o:OLEObject>
        </w:object>
      </w:r>
    </w:p>
    <w:p w14:paraId="1FC8309B" w14:textId="0AF4E7F6" w:rsidR="009B1EDC" w:rsidRPr="00183434" w:rsidRDefault="009B1EDC" w:rsidP="00183434">
      <w:pPr>
        <w:pStyle w:val="BodyTextIndent2"/>
        <w:jc w:val="both"/>
        <w:rPr>
          <w:rFonts w:cs="Arial"/>
          <w:sz w:val="23"/>
          <w:szCs w:val="23"/>
          <w:highlight w:val="cyan"/>
        </w:rPr>
      </w:pPr>
    </w:p>
    <w:p w14:paraId="5DFD60BE" w14:textId="77777777" w:rsidR="00777CB4" w:rsidRPr="00183434" w:rsidRDefault="00777CB4" w:rsidP="00183434">
      <w:pPr>
        <w:pStyle w:val="BodyTextIndent2"/>
        <w:jc w:val="both"/>
        <w:rPr>
          <w:rFonts w:cs="Arial"/>
          <w:sz w:val="23"/>
          <w:szCs w:val="23"/>
          <w:highlight w:val="cyan"/>
        </w:rPr>
      </w:pPr>
    </w:p>
    <w:p w14:paraId="5C754495" w14:textId="77777777" w:rsidR="009B1EDC" w:rsidRDefault="009B1EDC" w:rsidP="00183434">
      <w:pPr>
        <w:pStyle w:val="BodyTextIndent2"/>
        <w:jc w:val="both"/>
        <w:rPr>
          <w:rFonts w:cs="Arial"/>
          <w:sz w:val="23"/>
          <w:szCs w:val="23"/>
        </w:rPr>
      </w:pPr>
      <w:r w:rsidRPr="00183434">
        <w:rPr>
          <w:rFonts w:cs="Arial"/>
          <w:sz w:val="23"/>
          <w:szCs w:val="23"/>
        </w:rPr>
        <w:t xml:space="preserve">The fair value is more than the carrying amount because the authority’s portfolio of loans includes </w:t>
      </w:r>
      <w:proofErr w:type="gramStart"/>
      <w:r w:rsidRPr="00183434">
        <w:rPr>
          <w:rFonts w:cs="Arial"/>
          <w:sz w:val="23"/>
          <w:szCs w:val="23"/>
        </w:rPr>
        <w:t>a number of</w:t>
      </w:r>
      <w:proofErr w:type="gramEnd"/>
      <w:r w:rsidRPr="00183434">
        <w:rPr>
          <w:rFonts w:cs="Arial"/>
          <w:sz w:val="23"/>
          <w:szCs w:val="23"/>
        </w:rPr>
        <w:t xml:space="preserve"> fixed rate loans where the interest payable is higher than the rates available for similar loans at the balance sheet date. The commitment to pay interest above current market rates increases the amount that the authority would have to pay if the lender requested or agreed early repayment of loans.</w:t>
      </w:r>
    </w:p>
    <w:p w14:paraId="71561AFF" w14:textId="77777777" w:rsidR="00D57F11" w:rsidRDefault="00D57F11" w:rsidP="00183434">
      <w:pPr>
        <w:pStyle w:val="BodyTextIndent2"/>
        <w:jc w:val="both"/>
        <w:rPr>
          <w:rFonts w:cs="Arial"/>
          <w:sz w:val="23"/>
          <w:szCs w:val="23"/>
        </w:rPr>
      </w:pPr>
    </w:p>
    <w:p w14:paraId="1855089A" w14:textId="77777777" w:rsidR="00637C2F" w:rsidRPr="00183434" w:rsidRDefault="00637C2F" w:rsidP="00183434">
      <w:pPr>
        <w:pStyle w:val="BodyTextIndent2"/>
        <w:jc w:val="both"/>
        <w:rPr>
          <w:rFonts w:cs="Arial"/>
          <w:sz w:val="23"/>
          <w:szCs w:val="23"/>
        </w:rPr>
      </w:pPr>
    </w:p>
    <w:p w14:paraId="1137C4EE" w14:textId="291DC211" w:rsidR="009B1EDC" w:rsidRPr="00183434" w:rsidRDefault="00D57F11" w:rsidP="00183434">
      <w:pPr>
        <w:pStyle w:val="BodyTextIndent2"/>
        <w:jc w:val="both"/>
        <w:rPr>
          <w:rFonts w:cs="Arial"/>
          <w:sz w:val="23"/>
          <w:szCs w:val="23"/>
          <w:highlight w:val="cyan"/>
        </w:rPr>
      </w:pPr>
      <w:r>
        <w:rPr>
          <w:rFonts w:cs="Arial"/>
          <w:sz w:val="23"/>
          <w:szCs w:val="23"/>
        </w:rPr>
        <w:object w:dxaOrig="7910" w:dyaOrig="1568" w14:anchorId="0FF81BA4">
          <v:shape id="_x0000_i1527" type="#_x0000_t75" style="width:444.65pt;height:88.15pt" o:ole="">
            <v:imagedata r:id="rId141" o:title=""/>
          </v:shape>
          <o:OLEObject Type="Link" ProgID="Excel.Sheet.12" ShapeID="_x0000_i1527" DrawAspect="Content" r:id="rId142" UpdateMode="Always">
            <o:LinkType>EnhancedMetaFile</o:LinkType>
            <o:LockedField>false</o:LockedField>
          </o:OLEObject>
        </w:object>
      </w:r>
    </w:p>
    <w:p w14:paraId="238A8ECB" w14:textId="77777777" w:rsidR="00777CB4" w:rsidRPr="00183434" w:rsidRDefault="00777CB4" w:rsidP="00183434">
      <w:pPr>
        <w:pStyle w:val="BodyTextIndent2"/>
        <w:jc w:val="both"/>
        <w:rPr>
          <w:rFonts w:cs="Arial"/>
          <w:sz w:val="23"/>
          <w:szCs w:val="23"/>
          <w:highlight w:val="cyan"/>
        </w:rPr>
      </w:pPr>
    </w:p>
    <w:p w14:paraId="1594BB4B" w14:textId="77777777" w:rsidR="009B1EDC" w:rsidRPr="00183434" w:rsidRDefault="009B1EDC" w:rsidP="00183434">
      <w:pPr>
        <w:pStyle w:val="BodyTextIndent2"/>
        <w:jc w:val="both"/>
        <w:rPr>
          <w:rFonts w:cs="Arial"/>
          <w:sz w:val="23"/>
          <w:szCs w:val="23"/>
        </w:rPr>
      </w:pPr>
      <w:r w:rsidRPr="00183434">
        <w:rPr>
          <w:rFonts w:cs="Arial"/>
          <w:sz w:val="23"/>
          <w:szCs w:val="23"/>
        </w:rPr>
        <w:t>For loans and receivables</w:t>
      </w:r>
      <w:r w:rsidR="00EC4C88" w:rsidRPr="00183434">
        <w:rPr>
          <w:rFonts w:cs="Arial"/>
          <w:sz w:val="23"/>
          <w:szCs w:val="23"/>
        </w:rPr>
        <w:t xml:space="preserve"> held at amortised cost</w:t>
      </w:r>
      <w:r w:rsidRPr="00183434">
        <w:rPr>
          <w:rFonts w:cs="Arial"/>
          <w:sz w:val="23"/>
          <w:szCs w:val="23"/>
        </w:rPr>
        <w:t xml:space="preserve">, the carrying amount </w:t>
      </w:r>
      <w:proofErr w:type="gramStart"/>
      <w:r w:rsidRPr="00183434">
        <w:rPr>
          <w:rFonts w:cs="Arial"/>
          <w:sz w:val="23"/>
          <w:szCs w:val="23"/>
        </w:rPr>
        <w:t>is considered to be</w:t>
      </w:r>
      <w:proofErr w:type="gramEnd"/>
      <w:r w:rsidRPr="00183434">
        <w:rPr>
          <w:rFonts w:cs="Arial"/>
          <w:sz w:val="23"/>
          <w:szCs w:val="23"/>
        </w:rPr>
        <w:t xml:space="preserve"> a reasonable approximation of fair value and therefore no fair value disclosures are included.</w:t>
      </w:r>
    </w:p>
    <w:p w14:paraId="05E1F2E8" w14:textId="77777777" w:rsidR="009B1EDC" w:rsidRPr="00183434" w:rsidRDefault="009B1EDC" w:rsidP="00183434">
      <w:pPr>
        <w:pStyle w:val="BodyTextIndent2"/>
        <w:jc w:val="both"/>
        <w:rPr>
          <w:rFonts w:cs="Arial"/>
          <w:sz w:val="23"/>
          <w:szCs w:val="23"/>
        </w:rPr>
      </w:pPr>
    </w:p>
    <w:p w14:paraId="48306CC5"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The fair value of trade and other receivables is taken to be the invoiced or billed amount. The carrying amount is therefore a reasonable approximation of fair value and this category of financial instrument is therefore excluded from the figures above.</w:t>
      </w:r>
    </w:p>
    <w:p w14:paraId="04C9AE24" w14:textId="77777777" w:rsidR="009B1EDC" w:rsidRPr="00183434" w:rsidRDefault="009B1EDC" w:rsidP="00183434">
      <w:pPr>
        <w:pStyle w:val="BodyTextIndent2"/>
        <w:ind w:left="0"/>
        <w:jc w:val="both"/>
        <w:rPr>
          <w:rFonts w:cs="Arial"/>
          <w:sz w:val="23"/>
          <w:szCs w:val="23"/>
        </w:rPr>
      </w:pPr>
    </w:p>
    <w:p w14:paraId="482A561F"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Fair Value Hierarchy for Financial Liabilities that are not measured at fair value</w:t>
      </w:r>
    </w:p>
    <w:p w14:paraId="1B36C233" w14:textId="77777777" w:rsidR="008D043F" w:rsidRPr="00183434" w:rsidRDefault="008D043F" w:rsidP="00183434">
      <w:pPr>
        <w:tabs>
          <w:tab w:val="num" w:pos="1800"/>
        </w:tabs>
        <w:jc w:val="both"/>
        <w:rPr>
          <w:rFonts w:cs="Arial"/>
          <w:sz w:val="23"/>
          <w:szCs w:val="23"/>
        </w:rPr>
      </w:pPr>
    </w:p>
    <w:p w14:paraId="1EC4D753" w14:textId="77777777" w:rsidR="00781F90" w:rsidRPr="00183434" w:rsidRDefault="00781F90" w:rsidP="00183434">
      <w:pPr>
        <w:tabs>
          <w:tab w:val="num" w:pos="1800"/>
        </w:tabs>
        <w:jc w:val="both"/>
        <w:rPr>
          <w:rFonts w:cs="Arial"/>
          <w:sz w:val="23"/>
          <w:szCs w:val="23"/>
        </w:rPr>
      </w:pPr>
    </w:p>
    <w:p w14:paraId="008558DB" w14:textId="35A33F2C" w:rsidR="009B1EDC" w:rsidRPr="00183434" w:rsidRDefault="00D57F11" w:rsidP="00183434">
      <w:pPr>
        <w:pStyle w:val="BodyTextIndent2"/>
        <w:jc w:val="both"/>
        <w:rPr>
          <w:rFonts w:cs="Arial"/>
          <w:sz w:val="23"/>
          <w:szCs w:val="23"/>
        </w:rPr>
      </w:pPr>
      <w:r w:rsidRPr="00183434">
        <w:rPr>
          <w:rFonts w:cs="Arial"/>
          <w:sz w:val="23"/>
          <w:szCs w:val="23"/>
        </w:rPr>
        <w:object w:dxaOrig="8520" w:dyaOrig="1858" w14:anchorId="72AE36DC">
          <v:shape id="_x0000_i1088" type="#_x0000_t75" style="width:444.65pt;height:96.75pt" o:ole="">
            <v:imagedata r:id="rId143" o:title=""/>
          </v:shape>
          <o:OLEObject Type="Link" ProgID="Excel.Sheet.12" ShapeID="_x0000_i1088" DrawAspect="Content" r:id="rId144" UpdateMode="Always">
            <o:LinkType>EnhancedMetaFile</o:LinkType>
            <o:LockedField>false</o:LockedField>
            <o:FieldCodes>\* MERGEFORMAT</o:FieldCodes>
          </o:OLEObject>
        </w:object>
      </w:r>
    </w:p>
    <w:p w14:paraId="6B44D314" w14:textId="3D2A167D" w:rsidR="009B1EDC" w:rsidRPr="00183434" w:rsidRDefault="00D57F11" w:rsidP="00183434">
      <w:pPr>
        <w:pStyle w:val="BodyTextIndent2"/>
        <w:jc w:val="both"/>
        <w:rPr>
          <w:rFonts w:cs="Arial"/>
          <w:sz w:val="23"/>
          <w:szCs w:val="23"/>
        </w:rPr>
      </w:pPr>
      <w:r w:rsidRPr="00183434">
        <w:rPr>
          <w:rFonts w:cs="Arial"/>
          <w:sz w:val="23"/>
          <w:szCs w:val="23"/>
        </w:rPr>
        <w:object w:dxaOrig="8520" w:dyaOrig="2077" w14:anchorId="5AA0C928">
          <v:shape id="_x0000_i1089" type="#_x0000_t75" style="width:444.65pt;height:108.3pt" o:ole="">
            <v:imagedata r:id="rId145" o:title=""/>
          </v:shape>
          <o:OLEObject Type="Link" ProgID="Excel.Sheet.12" ShapeID="_x0000_i1089" DrawAspect="Content" r:id="rId146" UpdateMode="Always">
            <o:LinkType>EnhancedMetaFile</o:LinkType>
            <o:LockedField>false</o:LockedField>
            <o:FieldCodes>\* MERGEFORMAT</o:FieldCodes>
          </o:OLEObject>
        </w:object>
      </w:r>
    </w:p>
    <w:p w14:paraId="4A62984E" w14:textId="77777777" w:rsidR="009B1EDC" w:rsidRPr="00183434" w:rsidRDefault="009B1EDC" w:rsidP="00183434">
      <w:pPr>
        <w:pStyle w:val="BodyTextIndent2"/>
        <w:jc w:val="both"/>
        <w:rPr>
          <w:rFonts w:cs="Arial"/>
          <w:sz w:val="23"/>
          <w:szCs w:val="23"/>
          <w:highlight w:val="cyan"/>
        </w:rPr>
      </w:pPr>
    </w:p>
    <w:p w14:paraId="4379D3DC" w14:textId="77777777" w:rsidR="00F57A21" w:rsidRPr="00183434" w:rsidRDefault="00F57A21" w:rsidP="00183434">
      <w:pPr>
        <w:pStyle w:val="BodyTextIndent2"/>
        <w:jc w:val="both"/>
        <w:rPr>
          <w:rFonts w:cs="Arial"/>
          <w:sz w:val="23"/>
          <w:szCs w:val="23"/>
          <w:highlight w:val="cyan"/>
        </w:rPr>
      </w:pPr>
    </w:p>
    <w:p w14:paraId="64427B84" w14:textId="77777777" w:rsidR="009B1EDC" w:rsidRPr="00183434" w:rsidRDefault="009B1EDC" w:rsidP="00183434">
      <w:pPr>
        <w:pStyle w:val="BodyTextIndent2"/>
        <w:jc w:val="both"/>
        <w:rPr>
          <w:rFonts w:cs="Arial"/>
          <w:sz w:val="23"/>
          <w:szCs w:val="23"/>
        </w:rPr>
      </w:pPr>
      <w:r w:rsidRPr="00183434">
        <w:rPr>
          <w:rFonts w:cs="Arial"/>
          <w:sz w:val="23"/>
          <w:szCs w:val="23"/>
        </w:rPr>
        <w:t xml:space="preserve">The fair value for financial assets and liabilities that are not measured at fair value included in level 3 above has been calculated using a discounted cash flow analysis. </w:t>
      </w:r>
      <w:r w:rsidRPr="00183434">
        <w:rPr>
          <w:rFonts w:cs="Arial"/>
          <w:sz w:val="23"/>
          <w:szCs w:val="23"/>
        </w:rPr>
        <w:lastRenderedPageBreak/>
        <w:t>They can be assessed by calculating the present value of the cash flows that will take place over the remaining term of the instruments, using the following assumptions:</w:t>
      </w:r>
    </w:p>
    <w:p w14:paraId="658972A8" w14:textId="77777777" w:rsidR="009B1EDC" w:rsidRPr="00183434" w:rsidRDefault="009B1EDC" w:rsidP="00183434">
      <w:pPr>
        <w:numPr>
          <w:ilvl w:val="0"/>
          <w:numId w:val="13"/>
        </w:numPr>
        <w:tabs>
          <w:tab w:val="clear" w:pos="360"/>
          <w:tab w:val="num" w:pos="1080"/>
          <w:tab w:val="num" w:pos="1800"/>
        </w:tabs>
        <w:ind w:left="1080"/>
        <w:jc w:val="both"/>
        <w:rPr>
          <w:rFonts w:cs="Arial"/>
          <w:sz w:val="23"/>
          <w:szCs w:val="23"/>
        </w:rPr>
      </w:pPr>
      <w:r w:rsidRPr="00183434">
        <w:rPr>
          <w:rFonts w:cs="Arial"/>
          <w:sz w:val="23"/>
          <w:szCs w:val="23"/>
        </w:rPr>
        <w:t xml:space="preserve">Applicable interest rate (repayment rates) </w:t>
      </w:r>
    </w:p>
    <w:p w14:paraId="650092F6" w14:textId="77777777" w:rsidR="009B1EDC" w:rsidRPr="00183434" w:rsidRDefault="009B1EDC" w:rsidP="00183434">
      <w:pPr>
        <w:numPr>
          <w:ilvl w:val="0"/>
          <w:numId w:val="13"/>
        </w:numPr>
        <w:tabs>
          <w:tab w:val="clear" w:pos="360"/>
          <w:tab w:val="num" w:pos="1080"/>
          <w:tab w:val="num" w:pos="1800"/>
        </w:tabs>
        <w:ind w:left="1080"/>
        <w:jc w:val="both"/>
        <w:rPr>
          <w:rFonts w:cs="Arial"/>
          <w:sz w:val="23"/>
          <w:szCs w:val="23"/>
        </w:rPr>
      </w:pPr>
      <w:r w:rsidRPr="00183434">
        <w:rPr>
          <w:rFonts w:cs="Arial"/>
          <w:sz w:val="23"/>
          <w:szCs w:val="23"/>
        </w:rPr>
        <w:t>no impairment or early repayment is recognised</w:t>
      </w:r>
    </w:p>
    <w:p w14:paraId="6212D1D7" w14:textId="77777777" w:rsidR="009B1EDC" w:rsidRPr="00183434" w:rsidRDefault="009B1EDC" w:rsidP="00183434">
      <w:pPr>
        <w:numPr>
          <w:ilvl w:val="0"/>
          <w:numId w:val="13"/>
        </w:numPr>
        <w:tabs>
          <w:tab w:val="clear" w:pos="360"/>
          <w:tab w:val="num" w:pos="1080"/>
          <w:tab w:val="num" w:pos="1800"/>
        </w:tabs>
        <w:ind w:left="1080"/>
        <w:jc w:val="both"/>
        <w:rPr>
          <w:rFonts w:cs="Arial"/>
          <w:sz w:val="23"/>
          <w:szCs w:val="23"/>
        </w:rPr>
      </w:pPr>
      <w:r w:rsidRPr="00183434">
        <w:rPr>
          <w:rFonts w:cs="Arial"/>
          <w:sz w:val="23"/>
          <w:szCs w:val="23"/>
        </w:rPr>
        <w:t>all loans have fixed rates</w:t>
      </w:r>
    </w:p>
    <w:p w14:paraId="07090338" w14:textId="77777777" w:rsidR="009B1EDC" w:rsidRPr="00183434" w:rsidRDefault="009B1EDC" w:rsidP="00183434">
      <w:pPr>
        <w:tabs>
          <w:tab w:val="num" w:pos="1800"/>
        </w:tabs>
        <w:jc w:val="both"/>
        <w:rPr>
          <w:rFonts w:cs="Arial"/>
          <w:sz w:val="23"/>
          <w:szCs w:val="23"/>
        </w:rPr>
      </w:pPr>
    </w:p>
    <w:p w14:paraId="7FCD3436"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 xml:space="preserve">There has been no change in valuation techniques used and no transfers between levels 2 and 3 during the year. </w:t>
      </w:r>
    </w:p>
    <w:p w14:paraId="7E58F6A5" w14:textId="77777777" w:rsidR="009B1EDC" w:rsidRPr="00183434" w:rsidRDefault="009B1EDC" w:rsidP="00183434">
      <w:pPr>
        <w:pStyle w:val="BodyTextIndent2"/>
        <w:tabs>
          <w:tab w:val="num" w:pos="1800"/>
        </w:tabs>
        <w:ind w:left="0"/>
        <w:jc w:val="both"/>
        <w:rPr>
          <w:rFonts w:cs="Arial"/>
          <w:sz w:val="23"/>
          <w:szCs w:val="23"/>
        </w:rPr>
      </w:pPr>
      <w:r w:rsidRPr="00183434">
        <w:rPr>
          <w:rFonts w:cs="Arial"/>
          <w:sz w:val="23"/>
          <w:szCs w:val="23"/>
        </w:rPr>
        <w:tab/>
      </w:r>
    </w:p>
    <w:p w14:paraId="35FB2209" w14:textId="77777777" w:rsidR="009B1EDC" w:rsidRPr="00183434" w:rsidRDefault="009B1EDC" w:rsidP="00183434">
      <w:pPr>
        <w:jc w:val="both"/>
        <w:rPr>
          <w:rFonts w:cs="Arial"/>
          <w:sz w:val="23"/>
          <w:szCs w:val="23"/>
        </w:rPr>
      </w:pPr>
    </w:p>
    <w:p w14:paraId="7E55841D" w14:textId="77777777" w:rsidR="009B1EDC" w:rsidRPr="00183434" w:rsidRDefault="009B1EDC" w:rsidP="00183434">
      <w:pPr>
        <w:tabs>
          <w:tab w:val="num" w:pos="1800"/>
        </w:tabs>
        <w:jc w:val="both"/>
        <w:rPr>
          <w:rFonts w:cs="Arial"/>
          <w:sz w:val="23"/>
          <w:szCs w:val="23"/>
        </w:rPr>
      </w:pPr>
      <w:r w:rsidRPr="00183434">
        <w:rPr>
          <w:rFonts w:cs="Arial"/>
          <w:b/>
          <w:sz w:val="23"/>
          <w:szCs w:val="23"/>
        </w:rPr>
        <w:t>3</w:t>
      </w:r>
      <w:r w:rsidR="001B2752" w:rsidRPr="00183434">
        <w:rPr>
          <w:rFonts w:cs="Arial"/>
          <w:b/>
          <w:sz w:val="23"/>
          <w:szCs w:val="23"/>
        </w:rPr>
        <w:t>8</w:t>
      </w:r>
      <w:r w:rsidRPr="00183434">
        <w:rPr>
          <w:rFonts w:cs="Arial"/>
          <w:sz w:val="23"/>
          <w:szCs w:val="23"/>
        </w:rPr>
        <w:t xml:space="preserve">.      </w:t>
      </w:r>
      <w:r w:rsidRPr="00183434">
        <w:rPr>
          <w:rFonts w:cs="Arial"/>
          <w:b/>
          <w:sz w:val="23"/>
          <w:szCs w:val="23"/>
          <w:u w:val="single"/>
        </w:rPr>
        <w:t>NATURE &amp; EXTENT OF RISKS FROM FINANCIAL INSTRUMENTS</w:t>
      </w:r>
    </w:p>
    <w:p w14:paraId="31BA4C5D" w14:textId="77777777" w:rsidR="009B1EDC" w:rsidRPr="00183434" w:rsidRDefault="009B1EDC" w:rsidP="00183434">
      <w:pPr>
        <w:tabs>
          <w:tab w:val="num" w:pos="1800"/>
        </w:tabs>
        <w:ind w:left="720"/>
        <w:jc w:val="both"/>
        <w:rPr>
          <w:rFonts w:cs="Arial"/>
          <w:sz w:val="23"/>
          <w:szCs w:val="23"/>
        </w:rPr>
      </w:pPr>
    </w:p>
    <w:p w14:paraId="53106121"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The authority’s activities expose it to a variety of financial risks:</w:t>
      </w:r>
    </w:p>
    <w:p w14:paraId="366B048F" w14:textId="77777777" w:rsidR="009B1EDC" w:rsidRPr="00183434" w:rsidRDefault="009B1EDC" w:rsidP="00183434">
      <w:pPr>
        <w:tabs>
          <w:tab w:val="num" w:pos="1800"/>
        </w:tabs>
        <w:ind w:left="720"/>
        <w:jc w:val="both"/>
        <w:rPr>
          <w:rFonts w:cs="Arial"/>
          <w:sz w:val="23"/>
          <w:szCs w:val="23"/>
        </w:rPr>
      </w:pPr>
    </w:p>
    <w:p w14:paraId="429AA60F" w14:textId="77777777" w:rsidR="009B1EDC" w:rsidRPr="00183434" w:rsidRDefault="009B1EDC" w:rsidP="00183434">
      <w:pPr>
        <w:pStyle w:val="BodyTextIndent2"/>
        <w:numPr>
          <w:ilvl w:val="0"/>
          <w:numId w:val="14"/>
        </w:numPr>
        <w:tabs>
          <w:tab w:val="clear" w:pos="360"/>
          <w:tab w:val="num" w:pos="1080"/>
        </w:tabs>
        <w:ind w:left="1080"/>
        <w:jc w:val="both"/>
        <w:rPr>
          <w:rFonts w:cs="Arial"/>
          <w:sz w:val="23"/>
          <w:szCs w:val="23"/>
        </w:rPr>
      </w:pPr>
      <w:r w:rsidRPr="00183434">
        <w:rPr>
          <w:rFonts w:cs="Arial"/>
          <w:sz w:val="23"/>
          <w:szCs w:val="23"/>
        </w:rPr>
        <w:t>Credit risk – the possibility that other parties might fail to pay amounts due to the authority</w:t>
      </w:r>
    </w:p>
    <w:p w14:paraId="41E16B8F" w14:textId="77777777" w:rsidR="009B1EDC" w:rsidRPr="00183434" w:rsidRDefault="009B1EDC" w:rsidP="00183434">
      <w:pPr>
        <w:pStyle w:val="BodyTextIndent2"/>
        <w:numPr>
          <w:ilvl w:val="0"/>
          <w:numId w:val="14"/>
        </w:numPr>
        <w:tabs>
          <w:tab w:val="clear" w:pos="360"/>
          <w:tab w:val="num" w:pos="1080"/>
        </w:tabs>
        <w:ind w:left="1080"/>
        <w:jc w:val="both"/>
        <w:rPr>
          <w:rFonts w:cs="Arial"/>
          <w:sz w:val="23"/>
          <w:szCs w:val="23"/>
        </w:rPr>
      </w:pPr>
      <w:r w:rsidRPr="00183434">
        <w:rPr>
          <w:rFonts w:cs="Arial"/>
          <w:sz w:val="23"/>
          <w:szCs w:val="23"/>
        </w:rPr>
        <w:t>Liquidity risk – the possibility that the authority may not have funds available to meet its commitments to make payments</w:t>
      </w:r>
    </w:p>
    <w:p w14:paraId="7FE82C2E" w14:textId="77777777" w:rsidR="009B1EDC" w:rsidRPr="00183434" w:rsidRDefault="009B1EDC" w:rsidP="00183434">
      <w:pPr>
        <w:pStyle w:val="BodyTextIndent2"/>
        <w:numPr>
          <w:ilvl w:val="0"/>
          <w:numId w:val="14"/>
        </w:numPr>
        <w:tabs>
          <w:tab w:val="clear" w:pos="360"/>
          <w:tab w:val="num" w:pos="1080"/>
        </w:tabs>
        <w:ind w:left="1080"/>
        <w:jc w:val="both"/>
        <w:rPr>
          <w:rFonts w:cs="Arial"/>
          <w:sz w:val="23"/>
          <w:szCs w:val="23"/>
        </w:rPr>
      </w:pPr>
      <w:r w:rsidRPr="00183434">
        <w:rPr>
          <w:rFonts w:cs="Arial"/>
          <w:sz w:val="23"/>
          <w:szCs w:val="23"/>
        </w:rPr>
        <w:t xml:space="preserve">Market risk – the possibility that financial loss might arise for the authority </w:t>
      </w:r>
      <w:proofErr w:type="gramStart"/>
      <w:r w:rsidRPr="00183434">
        <w:rPr>
          <w:rFonts w:cs="Arial"/>
          <w:sz w:val="23"/>
          <w:szCs w:val="23"/>
        </w:rPr>
        <w:t>as a result of</w:t>
      </w:r>
      <w:proofErr w:type="gramEnd"/>
      <w:r w:rsidRPr="00183434">
        <w:rPr>
          <w:rFonts w:cs="Arial"/>
          <w:sz w:val="23"/>
          <w:szCs w:val="23"/>
        </w:rPr>
        <w:t xml:space="preserve"> changes in such measures as interest rates and stock market movements</w:t>
      </w:r>
    </w:p>
    <w:p w14:paraId="08F3DBBF" w14:textId="77777777" w:rsidR="009B1EDC" w:rsidRPr="00183434" w:rsidRDefault="009B1EDC" w:rsidP="00183434">
      <w:pPr>
        <w:pStyle w:val="BodyTextIndent2"/>
        <w:ind w:left="1080"/>
        <w:jc w:val="both"/>
        <w:rPr>
          <w:rFonts w:cs="Arial"/>
          <w:sz w:val="23"/>
          <w:szCs w:val="23"/>
        </w:rPr>
      </w:pPr>
    </w:p>
    <w:p w14:paraId="0E41EBC2" w14:textId="77777777" w:rsidR="009B1EDC" w:rsidRPr="00183434" w:rsidRDefault="009B1EDC" w:rsidP="00183434">
      <w:pPr>
        <w:pStyle w:val="BodyTextIndent2"/>
        <w:jc w:val="both"/>
        <w:rPr>
          <w:rFonts w:cs="Arial"/>
          <w:sz w:val="23"/>
          <w:szCs w:val="23"/>
        </w:rPr>
      </w:pPr>
      <w:r w:rsidRPr="00183434">
        <w:rPr>
          <w:rFonts w:cs="Arial"/>
          <w:sz w:val="23"/>
          <w:szCs w:val="23"/>
        </w:rPr>
        <w:t xml:space="preserve">The authority’s overall risk management programme focuses on the unpredictability of financial markets and seeks to minimise potential adverse effects on the resources available to fund services. Risk management is carried out by officers using policies </w:t>
      </w:r>
      <w:r w:rsidR="00EF2C9B" w:rsidRPr="00183434">
        <w:rPr>
          <w:rFonts w:cs="Arial"/>
          <w:sz w:val="23"/>
          <w:szCs w:val="23"/>
        </w:rPr>
        <w:t>approved by the Council in the Treasury Management S</w:t>
      </w:r>
      <w:r w:rsidRPr="00183434">
        <w:rPr>
          <w:rFonts w:cs="Arial"/>
          <w:sz w:val="23"/>
          <w:szCs w:val="23"/>
        </w:rPr>
        <w:t>trategy which is reviewed annually. This provides written principles for overall risk management and for specific subjects such as interest rate risk, credit risk and the investment of surplus cash.</w:t>
      </w:r>
    </w:p>
    <w:p w14:paraId="11FE1BE4" w14:textId="77777777" w:rsidR="009B1EDC" w:rsidRPr="00183434" w:rsidRDefault="009B1EDC" w:rsidP="00183434">
      <w:pPr>
        <w:tabs>
          <w:tab w:val="num" w:pos="1800"/>
        </w:tabs>
        <w:ind w:left="720"/>
        <w:jc w:val="both"/>
        <w:rPr>
          <w:rFonts w:cs="Arial"/>
          <w:sz w:val="23"/>
          <w:szCs w:val="23"/>
        </w:rPr>
      </w:pPr>
    </w:p>
    <w:p w14:paraId="5C80A5F6"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 xml:space="preserve">Credit Risk </w:t>
      </w:r>
    </w:p>
    <w:p w14:paraId="4E6BA7AE" w14:textId="77777777" w:rsidR="009B1EDC" w:rsidRPr="00183434" w:rsidRDefault="009B1EDC" w:rsidP="00183434">
      <w:pPr>
        <w:tabs>
          <w:tab w:val="num" w:pos="1800"/>
        </w:tabs>
        <w:ind w:left="720"/>
        <w:jc w:val="both"/>
        <w:rPr>
          <w:rFonts w:cs="Arial"/>
          <w:sz w:val="23"/>
          <w:szCs w:val="23"/>
          <w:u w:val="single"/>
        </w:rPr>
      </w:pPr>
    </w:p>
    <w:p w14:paraId="130CABD6"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Credit risk arises from deposits placed with financial institutions, which include fixed interest securities traded in an active market, as well as credit exposures to the authority’s customers. The risk is minimised through the adoption of the Annual Investment Strategy published annually on our website.</w:t>
      </w:r>
    </w:p>
    <w:p w14:paraId="6828DA40" w14:textId="77777777" w:rsidR="009B1EDC" w:rsidRPr="00183434" w:rsidRDefault="009B1EDC" w:rsidP="00183434">
      <w:pPr>
        <w:tabs>
          <w:tab w:val="num" w:pos="1800"/>
        </w:tabs>
        <w:ind w:left="720"/>
        <w:jc w:val="both"/>
        <w:rPr>
          <w:rFonts w:cs="Arial"/>
          <w:sz w:val="23"/>
          <w:szCs w:val="23"/>
        </w:rPr>
      </w:pPr>
    </w:p>
    <w:p w14:paraId="0249BB38"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 xml:space="preserve">The Council manages credit risk by ensuring that treasury investments are only placed with organisations of high credit quality as set out in the Treasury Management Strategy. These include the UK government, other local authorities, and commercial entities with a minimum long-term credit rating of A-. The list of approved counterparties has been compiled using advice from our independent treasury advisers who have fully researched their background and credit worthiness. Recognising that credit ratings are imperfect predictors of default, the Council has regard to other measures including credit default swap and equity prices when selecting commercial entities for investment. </w:t>
      </w:r>
    </w:p>
    <w:p w14:paraId="61A01162" w14:textId="77777777" w:rsidR="009B1EDC" w:rsidRPr="00183434" w:rsidRDefault="009B1EDC" w:rsidP="00183434">
      <w:pPr>
        <w:tabs>
          <w:tab w:val="num" w:pos="1800"/>
        </w:tabs>
        <w:ind w:left="720"/>
        <w:jc w:val="both"/>
        <w:rPr>
          <w:rFonts w:cs="Arial"/>
          <w:sz w:val="23"/>
          <w:szCs w:val="23"/>
          <w:highlight w:val="cyan"/>
        </w:rPr>
      </w:pPr>
    </w:p>
    <w:p w14:paraId="54C7C5BA"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A limit of £5m of the total portfolio is placed on the amount of money that can be invested with a single counterparty (other than UK government</w:t>
      </w:r>
      <w:proofErr w:type="gramStart"/>
      <w:r w:rsidRPr="00183434">
        <w:rPr>
          <w:rFonts w:cs="Arial"/>
          <w:sz w:val="23"/>
          <w:szCs w:val="23"/>
        </w:rPr>
        <w:t>).The</w:t>
      </w:r>
      <w:proofErr w:type="gramEnd"/>
      <w:r w:rsidRPr="00183434">
        <w:rPr>
          <w:rFonts w:cs="Arial"/>
          <w:sz w:val="23"/>
          <w:szCs w:val="23"/>
        </w:rPr>
        <w:t xml:space="preserve"> Council also sets limits on investments in certain sectors. No more than £10m in total can be invested for a period longer than one year.</w:t>
      </w:r>
    </w:p>
    <w:p w14:paraId="0EF95B59" w14:textId="77777777" w:rsidR="009B1EDC" w:rsidRPr="00183434" w:rsidRDefault="009B1EDC" w:rsidP="00183434">
      <w:pPr>
        <w:tabs>
          <w:tab w:val="num" w:pos="1800"/>
        </w:tabs>
        <w:ind w:left="720"/>
        <w:jc w:val="both"/>
        <w:rPr>
          <w:rFonts w:cs="Arial"/>
          <w:sz w:val="23"/>
          <w:szCs w:val="23"/>
        </w:rPr>
      </w:pPr>
    </w:p>
    <w:p w14:paraId="0F321298" w14:textId="05AA9E20" w:rsidR="009B1EDC" w:rsidRPr="00183434" w:rsidRDefault="009B1EDC" w:rsidP="00183434">
      <w:pPr>
        <w:tabs>
          <w:tab w:val="num" w:pos="1800"/>
        </w:tabs>
        <w:ind w:left="720"/>
        <w:jc w:val="both"/>
        <w:rPr>
          <w:rFonts w:cs="Arial"/>
          <w:sz w:val="23"/>
          <w:szCs w:val="23"/>
        </w:rPr>
      </w:pPr>
      <w:r w:rsidRPr="00183434">
        <w:rPr>
          <w:rFonts w:cs="Arial"/>
          <w:sz w:val="23"/>
          <w:szCs w:val="23"/>
        </w:rPr>
        <w:t xml:space="preserve">The table below summarises the credit risk exposures of the Council’s treasury investment portfolio by credit rating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March 20</w:t>
      </w:r>
      <w:r w:rsidR="00867C78" w:rsidRPr="00183434">
        <w:rPr>
          <w:rFonts w:cs="Arial"/>
          <w:sz w:val="23"/>
          <w:szCs w:val="23"/>
        </w:rPr>
        <w:t>2</w:t>
      </w:r>
      <w:r w:rsidR="00BF4A9C" w:rsidRPr="00183434">
        <w:rPr>
          <w:rFonts w:cs="Arial"/>
          <w:sz w:val="23"/>
          <w:szCs w:val="23"/>
        </w:rPr>
        <w:t>6</w:t>
      </w:r>
      <w:r w:rsidRPr="00183434">
        <w:rPr>
          <w:rFonts w:cs="Arial"/>
          <w:sz w:val="23"/>
          <w:szCs w:val="23"/>
        </w:rPr>
        <w:t>:</w:t>
      </w:r>
    </w:p>
    <w:p w14:paraId="0EFFF99C" w14:textId="77777777" w:rsidR="00336A02" w:rsidRDefault="00336A02" w:rsidP="00183434">
      <w:pPr>
        <w:tabs>
          <w:tab w:val="num" w:pos="1800"/>
        </w:tabs>
        <w:ind w:left="720"/>
        <w:jc w:val="both"/>
        <w:rPr>
          <w:rFonts w:cs="Arial"/>
          <w:sz w:val="23"/>
          <w:szCs w:val="23"/>
        </w:rPr>
      </w:pPr>
    </w:p>
    <w:p w14:paraId="2644C374" w14:textId="77777777" w:rsidR="00D57F11" w:rsidRDefault="00D57F11" w:rsidP="00183434">
      <w:pPr>
        <w:tabs>
          <w:tab w:val="num" w:pos="1800"/>
        </w:tabs>
        <w:ind w:left="720"/>
        <w:jc w:val="both"/>
        <w:rPr>
          <w:rFonts w:cs="Arial"/>
          <w:sz w:val="23"/>
          <w:szCs w:val="23"/>
        </w:rPr>
      </w:pPr>
    </w:p>
    <w:p w14:paraId="3A57CD3C" w14:textId="77777777" w:rsidR="00D57F11" w:rsidRDefault="00D57F11" w:rsidP="00183434">
      <w:pPr>
        <w:tabs>
          <w:tab w:val="num" w:pos="1800"/>
        </w:tabs>
        <w:ind w:left="720"/>
        <w:jc w:val="both"/>
        <w:rPr>
          <w:rFonts w:cs="Arial"/>
          <w:sz w:val="23"/>
          <w:szCs w:val="23"/>
        </w:rPr>
      </w:pPr>
    </w:p>
    <w:p w14:paraId="415ED062" w14:textId="77777777" w:rsidR="00D57F11" w:rsidRDefault="00D57F11" w:rsidP="00183434">
      <w:pPr>
        <w:tabs>
          <w:tab w:val="num" w:pos="1800"/>
        </w:tabs>
        <w:ind w:left="720"/>
        <w:jc w:val="both"/>
        <w:rPr>
          <w:rFonts w:cs="Arial"/>
          <w:sz w:val="23"/>
          <w:szCs w:val="23"/>
        </w:rPr>
      </w:pPr>
    </w:p>
    <w:p w14:paraId="0C5F0245" w14:textId="77777777" w:rsidR="00D57F11" w:rsidRPr="00183434" w:rsidRDefault="00D57F11" w:rsidP="00183434">
      <w:pPr>
        <w:tabs>
          <w:tab w:val="num" w:pos="1800"/>
        </w:tabs>
        <w:ind w:left="720"/>
        <w:jc w:val="both"/>
        <w:rPr>
          <w:rFonts w:cs="Arial"/>
          <w:sz w:val="23"/>
          <w:szCs w:val="23"/>
        </w:rPr>
      </w:pPr>
    </w:p>
    <w:p w14:paraId="73700511" w14:textId="7F84E252" w:rsidR="00E26724" w:rsidRPr="00183434" w:rsidRDefault="00B925D5" w:rsidP="00183434">
      <w:pPr>
        <w:tabs>
          <w:tab w:val="num" w:pos="1800"/>
        </w:tabs>
        <w:ind w:left="720"/>
        <w:jc w:val="both"/>
        <w:rPr>
          <w:rFonts w:cs="Arial"/>
          <w:sz w:val="23"/>
          <w:szCs w:val="23"/>
        </w:rPr>
      </w:pPr>
      <w:r w:rsidRPr="00183434">
        <w:rPr>
          <w:rFonts w:cs="Arial"/>
          <w:sz w:val="23"/>
          <w:szCs w:val="23"/>
        </w:rPr>
        <w:object w:dxaOrig="5547" w:dyaOrig="2052" w14:anchorId="6D5482E9">
          <v:shape id="_x0000_i1090" type="#_x0000_t75" style="width:277.65pt;height:102.55pt" o:ole="">
            <v:imagedata r:id="rId147" o:title=""/>
          </v:shape>
          <o:OLEObject Type="Link" ProgID="Excel.Sheet.12" ShapeID="_x0000_i1090" DrawAspect="Content" r:id="rId148" UpdateMode="Always">
            <o:LinkType>EnhancedMetaFile</o:LinkType>
            <o:LockedField>false</o:LockedField>
            <o:FieldCodes>\* MERGEFORMAT</o:FieldCodes>
          </o:OLEObject>
        </w:object>
      </w:r>
    </w:p>
    <w:p w14:paraId="4FFEDD84" w14:textId="77777777" w:rsidR="00B925D5" w:rsidRPr="00183434" w:rsidRDefault="00B925D5" w:rsidP="00183434">
      <w:pPr>
        <w:tabs>
          <w:tab w:val="num" w:pos="1800"/>
        </w:tabs>
        <w:ind w:left="720"/>
        <w:jc w:val="both"/>
        <w:rPr>
          <w:rFonts w:cs="Arial"/>
          <w:sz w:val="23"/>
          <w:szCs w:val="23"/>
          <w:highlight w:val="cyan"/>
        </w:rPr>
      </w:pPr>
    </w:p>
    <w:p w14:paraId="2B7F3F69" w14:textId="28B74D01" w:rsidR="009B1EDC" w:rsidRPr="00183434" w:rsidRDefault="009B1EDC" w:rsidP="00183434">
      <w:pPr>
        <w:tabs>
          <w:tab w:val="num" w:pos="1800"/>
        </w:tabs>
        <w:ind w:left="720"/>
        <w:jc w:val="both"/>
        <w:rPr>
          <w:rFonts w:cs="Arial"/>
          <w:sz w:val="23"/>
          <w:szCs w:val="23"/>
        </w:rPr>
      </w:pPr>
      <w:r w:rsidRPr="00183434">
        <w:rPr>
          <w:rFonts w:cs="Arial"/>
          <w:sz w:val="23"/>
          <w:szCs w:val="23"/>
        </w:rPr>
        <w:t xml:space="preserve">Loss allowances on treasury investments have been calculated by reference to historic default data published by credit rating agencies. Investments are determined to have suffered a significant increase in credit risk where they have been downgraded by three or more credit rating notches or equivalent since initial recognition, unless they retain an investment grade credit rating.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March </w:t>
      </w:r>
      <w:r w:rsidR="001F2580" w:rsidRPr="00183434">
        <w:rPr>
          <w:rFonts w:cs="Arial"/>
          <w:sz w:val="23"/>
          <w:szCs w:val="23"/>
        </w:rPr>
        <w:t>202</w:t>
      </w:r>
      <w:r w:rsidR="00BF4A9C" w:rsidRPr="00183434">
        <w:rPr>
          <w:rFonts w:cs="Arial"/>
          <w:sz w:val="23"/>
          <w:szCs w:val="23"/>
        </w:rPr>
        <w:t>6</w:t>
      </w:r>
      <w:r w:rsidR="001F2580" w:rsidRPr="00183434">
        <w:rPr>
          <w:rFonts w:cs="Arial"/>
          <w:sz w:val="23"/>
          <w:szCs w:val="23"/>
        </w:rPr>
        <w:t xml:space="preserve"> </w:t>
      </w:r>
      <w:r w:rsidR="007C460D" w:rsidRPr="00183434">
        <w:rPr>
          <w:rFonts w:cs="Arial"/>
          <w:sz w:val="23"/>
          <w:szCs w:val="23"/>
        </w:rPr>
        <w:t>there were no loss allowances related to treasury investments (</w:t>
      </w:r>
      <w:r w:rsidRPr="00183434">
        <w:rPr>
          <w:rFonts w:cs="Arial"/>
          <w:sz w:val="23"/>
          <w:szCs w:val="23"/>
        </w:rPr>
        <w:t>20</w:t>
      </w:r>
      <w:r w:rsidR="000B18AC" w:rsidRPr="00183434">
        <w:rPr>
          <w:rFonts w:cs="Arial"/>
          <w:sz w:val="23"/>
          <w:szCs w:val="23"/>
        </w:rPr>
        <w:t>2</w:t>
      </w:r>
      <w:r w:rsidR="00BF4A9C" w:rsidRPr="00183434">
        <w:rPr>
          <w:rFonts w:cs="Arial"/>
          <w:sz w:val="23"/>
          <w:szCs w:val="23"/>
        </w:rPr>
        <w:t>5</w:t>
      </w:r>
      <w:r w:rsidRPr="00183434">
        <w:rPr>
          <w:rFonts w:cs="Arial"/>
          <w:sz w:val="23"/>
          <w:szCs w:val="23"/>
        </w:rPr>
        <w:t xml:space="preserve"> £</w:t>
      </w:r>
      <w:r w:rsidR="000B18AC" w:rsidRPr="00183434">
        <w:rPr>
          <w:rFonts w:cs="Arial"/>
          <w:sz w:val="23"/>
          <w:szCs w:val="23"/>
        </w:rPr>
        <w:t>nil</w:t>
      </w:r>
      <w:r w:rsidR="007C460D" w:rsidRPr="00183434">
        <w:rPr>
          <w:rFonts w:cs="Arial"/>
          <w:sz w:val="23"/>
          <w:szCs w:val="23"/>
        </w:rPr>
        <w:t>).</w:t>
      </w:r>
      <w:r w:rsidRPr="00183434">
        <w:rPr>
          <w:rFonts w:cs="Arial"/>
          <w:sz w:val="23"/>
          <w:szCs w:val="23"/>
        </w:rPr>
        <w:t xml:space="preserve"> </w:t>
      </w:r>
    </w:p>
    <w:p w14:paraId="4BB057B7" w14:textId="77777777" w:rsidR="009B1EDC" w:rsidRPr="00183434" w:rsidRDefault="009B1EDC" w:rsidP="00183434">
      <w:pPr>
        <w:tabs>
          <w:tab w:val="num" w:pos="1800"/>
        </w:tabs>
        <w:ind w:left="720"/>
        <w:jc w:val="both"/>
        <w:rPr>
          <w:rFonts w:cs="Arial"/>
          <w:sz w:val="23"/>
          <w:szCs w:val="23"/>
          <w:highlight w:val="cyan"/>
        </w:rPr>
      </w:pPr>
    </w:p>
    <w:p w14:paraId="254D3426" w14:textId="0B34A990" w:rsidR="00987EDC" w:rsidRPr="00183434" w:rsidRDefault="005E688C" w:rsidP="00183434">
      <w:pPr>
        <w:tabs>
          <w:tab w:val="num" w:pos="1800"/>
        </w:tabs>
        <w:ind w:left="720"/>
        <w:jc w:val="both"/>
        <w:rPr>
          <w:rFonts w:cs="Arial"/>
          <w:sz w:val="23"/>
          <w:szCs w:val="23"/>
        </w:rPr>
      </w:pPr>
      <w:r w:rsidRPr="00183434">
        <w:rPr>
          <w:rFonts w:cs="Arial"/>
          <w:sz w:val="23"/>
          <w:szCs w:val="23"/>
        </w:rPr>
        <w:t xml:space="preserve">In furtherance of the Council’s service objectives, it has lent money to </w:t>
      </w:r>
      <w:r w:rsidR="00987EDC" w:rsidRPr="00183434">
        <w:rPr>
          <w:rFonts w:cs="Arial"/>
          <w:sz w:val="23"/>
          <w:szCs w:val="23"/>
        </w:rPr>
        <w:t xml:space="preserve">Chesterfield Football Club Community Trust, </w:t>
      </w:r>
      <w:r w:rsidR="005D41B1" w:rsidRPr="00183434">
        <w:rPr>
          <w:rFonts w:cs="Arial"/>
          <w:sz w:val="23"/>
          <w:szCs w:val="23"/>
        </w:rPr>
        <w:t xml:space="preserve">Baylight Properties and </w:t>
      </w:r>
      <w:r w:rsidR="00987EDC" w:rsidRPr="00183434">
        <w:rPr>
          <w:rFonts w:cs="Arial"/>
          <w:sz w:val="23"/>
          <w:szCs w:val="23"/>
        </w:rPr>
        <w:t>Staveley Town Council.</w:t>
      </w:r>
      <w:r w:rsidRPr="00183434">
        <w:rPr>
          <w:rFonts w:cs="Arial"/>
          <w:sz w:val="23"/>
          <w:szCs w:val="23"/>
        </w:rPr>
        <w:t xml:space="preserve"> </w:t>
      </w:r>
      <w:r w:rsidR="00987EDC" w:rsidRPr="00183434">
        <w:rPr>
          <w:rFonts w:cs="Arial"/>
          <w:sz w:val="23"/>
          <w:szCs w:val="23"/>
        </w:rPr>
        <w:t xml:space="preserve">The amount recognised </w:t>
      </w:r>
      <w:r w:rsidRPr="00183434">
        <w:rPr>
          <w:rFonts w:cs="Arial"/>
          <w:sz w:val="23"/>
          <w:szCs w:val="23"/>
        </w:rPr>
        <w:t xml:space="preserve">on the </w:t>
      </w:r>
      <w:r w:rsidR="00B20920" w:rsidRPr="00183434">
        <w:rPr>
          <w:rFonts w:cs="Arial"/>
          <w:sz w:val="23"/>
          <w:szCs w:val="23"/>
        </w:rPr>
        <w:t>B</w:t>
      </w:r>
      <w:r w:rsidRPr="00183434">
        <w:rPr>
          <w:rFonts w:cs="Arial"/>
          <w:sz w:val="23"/>
          <w:szCs w:val="23"/>
        </w:rPr>
        <w:t xml:space="preserve">alance </w:t>
      </w:r>
      <w:r w:rsidR="00B20920" w:rsidRPr="00183434">
        <w:rPr>
          <w:rFonts w:cs="Arial"/>
          <w:sz w:val="23"/>
          <w:szCs w:val="23"/>
        </w:rPr>
        <w:t>S</w:t>
      </w:r>
      <w:r w:rsidRPr="00183434">
        <w:rPr>
          <w:rFonts w:cs="Arial"/>
          <w:sz w:val="23"/>
          <w:szCs w:val="23"/>
        </w:rPr>
        <w:t>heet</w:t>
      </w:r>
      <w:r w:rsidR="00987EDC" w:rsidRPr="00183434">
        <w:rPr>
          <w:rFonts w:cs="Arial"/>
          <w:sz w:val="23"/>
          <w:szCs w:val="23"/>
        </w:rPr>
        <w:t xml:space="preserve"> as </w:t>
      </w:r>
      <w:proofErr w:type="gramStart"/>
      <w:r w:rsidR="00987EDC" w:rsidRPr="00183434">
        <w:rPr>
          <w:rFonts w:cs="Arial"/>
          <w:sz w:val="23"/>
          <w:szCs w:val="23"/>
        </w:rPr>
        <w:t>at</w:t>
      </w:r>
      <w:proofErr w:type="gramEnd"/>
      <w:r w:rsidR="00987EDC" w:rsidRPr="00183434">
        <w:rPr>
          <w:rFonts w:cs="Arial"/>
          <w:sz w:val="23"/>
          <w:szCs w:val="23"/>
        </w:rPr>
        <w:t xml:space="preserve"> 31</w:t>
      </w:r>
      <w:r w:rsidR="00987EDC" w:rsidRPr="00183434">
        <w:rPr>
          <w:rFonts w:cs="Arial"/>
          <w:sz w:val="23"/>
          <w:szCs w:val="23"/>
          <w:vertAlign w:val="superscript"/>
        </w:rPr>
        <w:t>st</w:t>
      </w:r>
      <w:r w:rsidR="00987EDC" w:rsidRPr="00183434">
        <w:rPr>
          <w:rFonts w:cs="Arial"/>
          <w:sz w:val="23"/>
          <w:szCs w:val="23"/>
        </w:rPr>
        <w:t xml:space="preserve"> March 202</w:t>
      </w:r>
      <w:r w:rsidR="00244FC9" w:rsidRPr="00183434">
        <w:rPr>
          <w:rFonts w:cs="Arial"/>
          <w:sz w:val="23"/>
          <w:szCs w:val="23"/>
        </w:rPr>
        <w:t>6</w:t>
      </w:r>
      <w:r w:rsidR="00987EDC" w:rsidRPr="00183434">
        <w:rPr>
          <w:rFonts w:cs="Arial"/>
          <w:sz w:val="23"/>
          <w:szCs w:val="23"/>
        </w:rPr>
        <w:t xml:space="preserve"> for these </w:t>
      </w:r>
      <w:proofErr w:type="gramStart"/>
      <w:r w:rsidR="00987EDC" w:rsidRPr="00183434">
        <w:rPr>
          <w:rFonts w:cs="Arial"/>
          <w:sz w:val="23"/>
          <w:szCs w:val="23"/>
        </w:rPr>
        <w:t>instruments</w:t>
      </w:r>
      <w:proofErr w:type="gramEnd"/>
      <w:r w:rsidR="00987EDC" w:rsidRPr="00183434">
        <w:rPr>
          <w:rFonts w:cs="Arial"/>
          <w:sz w:val="23"/>
          <w:szCs w:val="23"/>
        </w:rPr>
        <w:t xml:space="preserve"> totals £</w:t>
      </w:r>
      <w:r w:rsidR="005D41B1" w:rsidRPr="00183434">
        <w:rPr>
          <w:rFonts w:cs="Arial"/>
          <w:sz w:val="23"/>
          <w:szCs w:val="23"/>
        </w:rPr>
        <w:t>1</w:t>
      </w:r>
      <w:r w:rsidR="00B20920" w:rsidRPr="00183434">
        <w:rPr>
          <w:rFonts w:cs="Arial"/>
          <w:sz w:val="23"/>
          <w:szCs w:val="23"/>
        </w:rPr>
        <w:t>.</w:t>
      </w:r>
      <w:r w:rsidR="002E06E1" w:rsidRPr="00183434">
        <w:rPr>
          <w:rFonts w:cs="Arial"/>
          <w:sz w:val="23"/>
          <w:szCs w:val="23"/>
        </w:rPr>
        <w:t>04</w:t>
      </w:r>
      <w:r w:rsidR="00B20920" w:rsidRPr="00183434">
        <w:rPr>
          <w:rFonts w:cs="Arial"/>
          <w:sz w:val="23"/>
          <w:szCs w:val="23"/>
        </w:rPr>
        <w:t>m</w:t>
      </w:r>
      <w:r w:rsidR="00987EDC" w:rsidRPr="00183434">
        <w:rPr>
          <w:rFonts w:cs="Arial"/>
          <w:sz w:val="23"/>
          <w:szCs w:val="23"/>
        </w:rPr>
        <w:t xml:space="preserve"> (31</w:t>
      </w:r>
      <w:r w:rsidR="00987EDC" w:rsidRPr="00183434">
        <w:rPr>
          <w:rFonts w:cs="Arial"/>
          <w:sz w:val="23"/>
          <w:szCs w:val="23"/>
          <w:vertAlign w:val="superscript"/>
        </w:rPr>
        <w:t>st</w:t>
      </w:r>
      <w:r w:rsidR="00987EDC" w:rsidRPr="00183434">
        <w:rPr>
          <w:rFonts w:cs="Arial"/>
          <w:sz w:val="23"/>
          <w:szCs w:val="23"/>
        </w:rPr>
        <w:t xml:space="preserve"> March 202</w:t>
      </w:r>
      <w:r w:rsidR="00244FC9" w:rsidRPr="00183434">
        <w:rPr>
          <w:rFonts w:cs="Arial"/>
          <w:sz w:val="23"/>
          <w:szCs w:val="23"/>
        </w:rPr>
        <w:t>5</w:t>
      </w:r>
      <w:r w:rsidR="00987EDC" w:rsidRPr="00183434">
        <w:rPr>
          <w:rFonts w:cs="Arial"/>
          <w:sz w:val="23"/>
          <w:szCs w:val="23"/>
        </w:rPr>
        <w:t xml:space="preserve"> £</w:t>
      </w:r>
      <w:r w:rsidR="00065AAC" w:rsidRPr="00183434">
        <w:rPr>
          <w:rFonts w:cs="Arial"/>
          <w:sz w:val="23"/>
          <w:szCs w:val="23"/>
        </w:rPr>
        <w:t>1</w:t>
      </w:r>
      <w:r w:rsidR="00B20920" w:rsidRPr="00183434">
        <w:rPr>
          <w:rFonts w:cs="Arial"/>
          <w:sz w:val="23"/>
          <w:szCs w:val="23"/>
        </w:rPr>
        <w:t>.</w:t>
      </w:r>
      <w:r w:rsidR="00244FC9" w:rsidRPr="00183434">
        <w:rPr>
          <w:rFonts w:cs="Arial"/>
          <w:sz w:val="23"/>
          <w:szCs w:val="23"/>
        </w:rPr>
        <w:t>1</w:t>
      </w:r>
      <w:r w:rsidR="002E06E1" w:rsidRPr="00183434">
        <w:rPr>
          <w:rFonts w:cs="Arial"/>
          <w:sz w:val="23"/>
          <w:szCs w:val="23"/>
        </w:rPr>
        <w:t>5</w:t>
      </w:r>
      <w:r w:rsidR="00B20920" w:rsidRPr="00183434">
        <w:rPr>
          <w:rFonts w:cs="Arial"/>
          <w:sz w:val="23"/>
          <w:szCs w:val="23"/>
        </w:rPr>
        <w:t>m</w:t>
      </w:r>
      <w:r w:rsidR="00987EDC" w:rsidRPr="00183434">
        <w:rPr>
          <w:rFonts w:cs="Arial"/>
          <w:sz w:val="23"/>
          <w:szCs w:val="23"/>
        </w:rPr>
        <w:t>).</w:t>
      </w:r>
    </w:p>
    <w:p w14:paraId="1DD65E1D" w14:textId="77777777" w:rsidR="00987EDC" w:rsidRPr="00183434" w:rsidRDefault="00987EDC" w:rsidP="00183434">
      <w:pPr>
        <w:tabs>
          <w:tab w:val="num" w:pos="1800"/>
        </w:tabs>
        <w:ind w:left="720"/>
        <w:jc w:val="both"/>
        <w:rPr>
          <w:rFonts w:cs="Arial"/>
          <w:sz w:val="23"/>
          <w:szCs w:val="23"/>
          <w:highlight w:val="cyan"/>
        </w:rPr>
      </w:pPr>
    </w:p>
    <w:p w14:paraId="43E53CE0" w14:textId="70ACB5C3" w:rsidR="00987EDC" w:rsidRPr="00183434" w:rsidRDefault="00987EDC" w:rsidP="00183434">
      <w:pPr>
        <w:tabs>
          <w:tab w:val="num" w:pos="1800"/>
        </w:tabs>
        <w:ind w:left="720"/>
        <w:jc w:val="both"/>
        <w:rPr>
          <w:rFonts w:cs="Arial"/>
          <w:sz w:val="23"/>
          <w:szCs w:val="23"/>
          <w:u w:val="single"/>
        </w:rPr>
      </w:pPr>
      <w:r w:rsidRPr="00183434">
        <w:rPr>
          <w:rFonts w:cs="Arial"/>
          <w:sz w:val="23"/>
          <w:szCs w:val="23"/>
        </w:rPr>
        <w:t xml:space="preserve">The Council manages the credit risk inherent in its loans for service purposes in line with its published Investment Strategy. Loss allowances on loans for service purposes and loan commitments have been calculated by reference to the Council’s historic experience of default and to adjust for current and forecast economic conditions. As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March 202</w:t>
      </w:r>
      <w:r w:rsidR="00244FC9" w:rsidRPr="00183434">
        <w:rPr>
          <w:rFonts w:cs="Arial"/>
          <w:sz w:val="23"/>
          <w:szCs w:val="23"/>
        </w:rPr>
        <w:t>6</w:t>
      </w:r>
      <w:r w:rsidRPr="00183434">
        <w:rPr>
          <w:rFonts w:cs="Arial"/>
          <w:sz w:val="23"/>
          <w:szCs w:val="23"/>
        </w:rPr>
        <w:t xml:space="preserve"> loss allowances on service loans amounted to £5,000 (31</w:t>
      </w:r>
      <w:r w:rsidRPr="00183434">
        <w:rPr>
          <w:rFonts w:cs="Arial"/>
          <w:sz w:val="23"/>
          <w:szCs w:val="23"/>
          <w:vertAlign w:val="superscript"/>
        </w:rPr>
        <w:t>st</w:t>
      </w:r>
      <w:r w:rsidRPr="00183434">
        <w:rPr>
          <w:rFonts w:cs="Arial"/>
          <w:sz w:val="23"/>
          <w:szCs w:val="23"/>
        </w:rPr>
        <w:t xml:space="preserve"> March 202</w:t>
      </w:r>
      <w:r w:rsidR="00244FC9" w:rsidRPr="00183434">
        <w:rPr>
          <w:rFonts w:cs="Arial"/>
          <w:sz w:val="23"/>
          <w:szCs w:val="23"/>
        </w:rPr>
        <w:t>5</w:t>
      </w:r>
      <w:r w:rsidRPr="00183434">
        <w:rPr>
          <w:rFonts w:cs="Arial"/>
          <w:sz w:val="23"/>
          <w:szCs w:val="23"/>
        </w:rPr>
        <w:t xml:space="preserve"> </w:t>
      </w:r>
      <w:r w:rsidR="006D30E6" w:rsidRPr="00183434">
        <w:rPr>
          <w:rFonts w:cs="Arial"/>
          <w:sz w:val="23"/>
          <w:szCs w:val="23"/>
        </w:rPr>
        <w:t>£5,000</w:t>
      </w:r>
      <w:r w:rsidRPr="00183434">
        <w:rPr>
          <w:rFonts w:cs="Arial"/>
          <w:sz w:val="23"/>
          <w:szCs w:val="23"/>
        </w:rPr>
        <w:t>).</w:t>
      </w:r>
    </w:p>
    <w:p w14:paraId="4C5D3C02" w14:textId="77777777" w:rsidR="00A37532" w:rsidRPr="00183434" w:rsidRDefault="00A37532" w:rsidP="00183434">
      <w:pPr>
        <w:tabs>
          <w:tab w:val="num" w:pos="1800"/>
        </w:tabs>
        <w:ind w:left="720"/>
        <w:jc w:val="both"/>
        <w:rPr>
          <w:rFonts w:cs="Arial"/>
          <w:sz w:val="23"/>
          <w:szCs w:val="23"/>
          <w:highlight w:val="cyan"/>
          <w:u w:val="single"/>
        </w:rPr>
      </w:pPr>
    </w:p>
    <w:p w14:paraId="2FD40260"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Liquidity Risk</w:t>
      </w:r>
    </w:p>
    <w:p w14:paraId="736BFB0F" w14:textId="77777777" w:rsidR="009B1EDC" w:rsidRPr="00183434" w:rsidRDefault="009B1EDC" w:rsidP="00183434">
      <w:pPr>
        <w:tabs>
          <w:tab w:val="num" w:pos="1800"/>
        </w:tabs>
        <w:ind w:left="720"/>
        <w:jc w:val="both"/>
        <w:rPr>
          <w:rFonts w:cs="Arial"/>
          <w:sz w:val="23"/>
          <w:szCs w:val="23"/>
          <w:highlight w:val="cyan"/>
          <w:u w:val="single"/>
        </w:rPr>
      </w:pPr>
    </w:p>
    <w:p w14:paraId="108B54A8"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 xml:space="preserve">The authority has a comprehensive cash flow management system that seeks to ensure that cash is available as needed. If unexpected movements happen, the authority has ready access to borrowings from the money markets and the Public Works Loan Board (PWLB) so there is no significant risk that it will be unable to raise finance to meet its commitments under financial instruments. Instead, the risk is that the authority will be bound to replace a significant proportion of its borrowings at a time of unfavourable interest rates. The risk is managed by maintaining a spread of fixed rate loans and ensuring that no more than 5% of the Council’s borrowing matures in any one financial year.  </w:t>
      </w:r>
    </w:p>
    <w:p w14:paraId="4C3B5B37" w14:textId="77777777" w:rsidR="009B1EDC" w:rsidRPr="00183434" w:rsidRDefault="009B1EDC" w:rsidP="00183434">
      <w:pPr>
        <w:tabs>
          <w:tab w:val="num" w:pos="1800"/>
        </w:tabs>
        <w:jc w:val="both"/>
        <w:rPr>
          <w:rFonts w:cs="Arial"/>
          <w:sz w:val="23"/>
          <w:szCs w:val="23"/>
        </w:rPr>
      </w:pPr>
    </w:p>
    <w:p w14:paraId="214275F3" w14:textId="77777777" w:rsidR="00D57F11" w:rsidRDefault="00D57F11" w:rsidP="00183434">
      <w:pPr>
        <w:tabs>
          <w:tab w:val="num" w:pos="1800"/>
        </w:tabs>
        <w:ind w:left="709"/>
        <w:jc w:val="both"/>
        <w:rPr>
          <w:rFonts w:cs="Arial"/>
          <w:sz w:val="23"/>
          <w:szCs w:val="23"/>
        </w:rPr>
      </w:pPr>
    </w:p>
    <w:p w14:paraId="42AC97F2" w14:textId="77777777" w:rsidR="00D57F11" w:rsidRDefault="00D57F11">
      <w:pPr>
        <w:rPr>
          <w:rFonts w:cs="Arial"/>
          <w:sz w:val="23"/>
          <w:szCs w:val="23"/>
        </w:rPr>
      </w:pPr>
      <w:r>
        <w:rPr>
          <w:rFonts w:cs="Arial"/>
          <w:sz w:val="23"/>
          <w:szCs w:val="23"/>
        </w:rPr>
        <w:br w:type="page"/>
      </w:r>
    </w:p>
    <w:p w14:paraId="1C2730F0" w14:textId="1041CC58" w:rsidR="009B1EDC" w:rsidRDefault="00E6657E" w:rsidP="00D57F11">
      <w:pPr>
        <w:tabs>
          <w:tab w:val="num" w:pos="1800"/>
        </w:tabs>
        <w:jc w:val="both"/>
        <w:rPr>
          <w:rFonts w:cs="Arial"/>
          <w:sz w:val="23"/>
          <w:szCs w:val="23"/>
        </w:rPr>
      </w:pPr>
      <w:r>
        <w:rPr>
          <w:rFonts w:cs="Arial"/>
          <w:sz w:val="23"/>
          <w:szCs w:val="23"/>
        </w:rPr>
        <w:lastRenderedPageBreak/>
        <w:t xml:space="preserve">         </w:t>
      </w:r>
      <w:r w:rsidR="009B1EDC" w:rsidRPr="00183434">
        <w:rPr>
          <w:rFonts w:cs="Arial"/>
          <w:sz w:val="23"/>
          <w:szCs w:val="23"/>
        </w:rPr>
        <w:t>The maturity analysis of financial liabilities is as follows:</w:t>
      </w:r>
    </w:p>
    <w:p w14:paraId="6612132F" w14:textId="77777777" w:rsidR="00D57F11" w:rsidRPr="00183434" w:rsidRDefault="00D57F11" w:rsidP="00183434">
      <w:pPr>
        <w:tabs>
          <w:tab w:val="num" w:pos="1800"/>
        </w:tabs>
        <w:ind w:left="709"/>
        <w:jc w:val="both"/>
        <w:rPr>
          <w:rFonts w:cs="Arial"/>
          <w:sz w:val="23"/>
          <w:szCs w:val="23"/>
        </w:rPr>
      </w:pPr>
    </w:p>
    <w:p w14:paraId="1289D210" w14:textId="0E38CA8A" w:rsidR="00921BEF" w:rsidRPr="00183434" w:rsidRDefault="00D57F11" w:rsidP="00183434">
      <w:pPr>
        <w:tabs>
          <w:tab w:val="num" w:pos="1800"/>
        </w:tabs>
        <w:ind w:left="567"/>
        <w:jc w:val="both"/>
        <w:rPr>
          <w:rFonts w:cs="Arial"/>
          <w:b/>
          <w:sz w:val="23"/>
          <w:szCs w:val="23"/>
        </w:rPr>
      </w:pPr>
      <w:r>
        <w:rPr>
          <w:rFonts w:cs="Arial"/>
          <w:b/>
          <w:sz w:val="23"/>
          <w:szCs w:val="23"/>
        </w:rPr>
        <w:object w:dxaOrig="5760" w:dyaOrig="4440" w14:anchorId="33BEBBAB">
          <v:shape id="_x0000_i1537" type="#_x0000_t75" style="width:4in;height:221.75pt" o:ole="">
            <v:imagedata r:id="rId149" o:title=""/>
          </v:shape>
          <o:OLEObject Type="Link" ProgID="Excel.Sheet.12" ShapeID="_x0000_i1537" DrawAspect="Content" r:id="rId150" UpdateMode="Always">
            <o:LinkType>EnhancedMetaFile</o:LinkType>
            <o:LockedField>false</o:LockedField>
          </o:OLEObject>
        </w:object>
      </w:r>
    </w:p>
    <w:p w14:paraId="0D995914" w14:textId="7751A73D" w:rsidR="009B1EDC" w:rsidRPr="00183434" w:rsidRDefault="009B1EDC" w:rsidP="00183434">
      <w:pPr>
        <w:tabs>
          <w:tab w:val="num" w:pos="1800"/>
        </w:tabs>
        <w:ind w:left="567"/>
        <w:jc w:val="both"/>
        <w:rPr>
          <w:rFonts w:cs="Arial"/>
          <w:b/>
          <w:sz w:val="23"/>
          <w:szCs w:val="23"/>
        </w:rPr>
      </w:pPr>
      <w:r w:rsidRPr="00183434">
        <w:rPr>
          <w:rFonts w:cs="Arial"/>
          <w:b/>
          <w:sz w:val="23"/>
          <w:szCs w:val="23"/>
        </w:rPr>
        <w:tab/>
      </w:r>
    </w:p>
    <w:p w14:paraId="4EFB10F5" w14:textId="77777777" w:rsidR="009B1EDC" w:rsidRPr="00183434" w:rsidRDefault="009B1EDC" w:rsidP="00183434">
      <w:pPr>
        <w:tabs>
          <w:tab w:val="num" w:pos="1800"/>
        </w:tabs>
        <w:ind w:left="720"/>
        <w:jc w:val="both"/>
        <w:rPr>
          <w:rFonts w:cs="Arial"/>
          <w:sz w:val="23"/>
          <w:szCs w:val="23"/>
        </w:rPr>
      </w:pPr>
      <w:r w:rsidRPr="00183434">
        <w:rPr>
          <w:rFonts w:cs="Arial"/>
          <w:sz w:val="23"/>
          <w:szCs w:val="23"/>
        </w:rPr>
        <w:t>All trade and other payables are due to be paid in less than one year.</w:t>
      </w:r>
    </w:p>
    <w:p w14:paraId="10C665CB" w14:textId="77777777" w:rsidR="009B1EDC" w:rsidRPr="00183434" w:rsidRDefault="009B1EDC" w:rsidP="00183434">
      <w:pPr>
        <w:tabs>
          <w:tab w:val="num" w:pos="1800"/>
        </w:tabs>
        <w:jc w:val="both"/>
        <w:rPr>
          <w:rFonts w:cs="Arial"/>
          <w:sz w:val="23"/>
          <w:szCs w:val="23"/>
        </w:rPr>
      </w:pPr>
    </w:p>
    <w:p w14:paraId="263BC79B"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Market Risk</w:t>
      </w:r>
    </w:p>
    <w:p w14:paraId="5E655B40" w14:textId="77777777" w:rsidR="009B1EDC" w:rsidRPr="00183434" w:rsidRDefault="009B1EDC" w:rsidP="00183434">
      <w:pPr>
        <w:tabs>
          <w:tab w:val="num" w:pos="1800"/>
        </w:tabs>
        <w:ind w:left="720"/>
        <w:jc w:val="both"/>
        <w:rPr>
          <w:rFonts w:cs="Arial"/>
          <w:sz w:val="23"/>
          <w:szCs w:val="23"/>
          <w:u w:val="single"/>
        </w:rPr>
      </w:pPr>
    </w:p>
    <w:p w14:paraId="716A8D33"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Interest Rate Risk</w:t>
      </w:r>
    </w:p>
    <w:p w14:paraId="1FB7CD66" w14:textId="77777777" w:rsidR="009B1EDC" w:rsidRPr="00183434" w:rsidRDefault="009B1EDC" w:rsidP="00183434">
      <w:pPr>
        <w:tabs>
          <w:tab w:val="num" w:pos="1800"/>
        </w:tabs>
        <w:jc w:val="both"/>
        <w:rPr>
          <w:rFonts w:cs="Arial"/>
          <w:sz w:val="23"/>
          <w:szCs w:val="23"/>
        </w:rPr>
      </w:pPr>
    </w:p>
    <w:p w14:paraId="694F7CDF" w14:textId="77777777" w:rsidR="009B1EDC" w:rsidRPr="00183434" w:rsidRDefault="009B1EDC" w:rsidP="00183434">
      <w:pPr>
        <w:tabs>
          <w:tab w:val="num" w:pos="1800"/>
        </w:tabs>
        <w:ind w:left="709"/>
        <w:jc w:val="both"/>
        <w:rPr>
          <w:rFonts w:cs="Arial"/>
          <w:sz w:val="23"/>
          <w:szCs w:val="23"/>
        </w:rPr>
      </w:pPr>
      <w:r w:rsidRPr="00183434">
        <w:rPr>
          <w:rFonts w:cs="Arial"/>
          <w:sz w:val="23"/>
          <w:szCs w:val="23"/>
        </w:rPr>
        <w:t xml:space="preserve">The authority is exposed to significant risk in terms of its exposure to interest rate movements on its borrowings and </w:t>
      </w:r>
      <w:r w:rsidR="00EF2C9B" w:rsidRPr="00183434">
        <w:rPr>
          <w:rFonts w:cs="Arial"/>
          <w:sz w:val="23"/>
          <w:szCs w:val="23"/>
        </w:rPr>
        <w:t>investments.</w:t>
      </w:r>
      <w:r w:rsidRPr="00183434">
        <w:rPr>
          <w:rFonts w:cs="Arial"/>
          <w:sz w:val="23"/>
          <w:szCs w:val="23"/>
        </w:rPr>
        <w:t xml:space="preserve"> For instance, a rise in interest rates would have the following effects:</w:t>
      </w:r>
    </w:p>
    <w:p w14:paraId="29766768" w14:textId="77777777" w:rsidR="009B1EDC" w:rsidRPr="00183434" w:rsidRDefault="009B1EDC" w:rsidP="00183434">
      <w:pPr>
        <w:tabs>
          <w:tab w:val="num" w:pos="1800"/>
        </w:tabs>
        <w:ind w:left="720"/>
        <w:jc w:val="both"/>
        <w:rPr>
          <w:rFonts w:cs="Arial"/>
          <w:sz w:val="23"/>
          <w:szCs w:val="23"/>
        </w:rPr>
      </w:pPr>
    </w:p>
    <w:p w14:paraId="3E69C5F1" w14:textId="77777777" w:rsidR="009B1EDC" w:rsidRPr="00183434" w:rsidRDefault="009B1EDC" w:rsidP="00183434">
      <w:pPr>
        <w:pStyle w:val="TOC6"/>
        <w:numPr>
          <w:ilvl w:val="0"/>
          <w:numId w:val="15"/>
        </w:numPr>
        <w:tabs>
          <w:tab w:val="clear" w:pos="360"/>
          <w:tab w:val="num" w:pos="1080"/>
        </w:tabs>
        <w:ind w:left="1080"/>
        <w:jc w:val="both"/>
        <w:rPr>
          <w:rFonts w:cs="Arial"/>
          <w:sz w:val="23"/>
          <w:szCs w:val="23"/>
        </w:rPr>
      </w:pPr>
      <w:r w:rsidRPr="00183434">
        <w:rPr>
          <w:rFonts w:cs="Arial"/>
          <w:sz w:val="23"/>
          <w:szCs w:val="23"/>
        </w:rPr>
        <w:t>Borrowings at variable rates – interest expense charged to the Surplus or Deficit on the Provision of Services will rise</w:t>
      </w:r>
    </w:p>
    <w:p w14:paraId="7ADB7B20" w14:textId="77777777" w:rsidR="009B1EDC" w:rsidRPr="00183434" w:rsidRDefault="009B1EDC" w:rsidP="00183434">
      <w:pPr>
        <w:jc w:val="both"/>
        <w:rPr>
          <w:rFonts w:cs="Arial"/>
          <w:sz w:val="23"/>
          <w:szCs w:val="23"/>
        </w:rPr>
      </w:pPr>
    </w:p>
    <w:p w14:paraId="510F6CE4" w14:textId="77777777" w:rsidR="009B1EDC" w:rsidRPr="00183434" w:rsidRDefault="009B1EDC" w:rsidP="00183434">
      <w:pPr>
        <w:pStyle w:val="TOC6"/>
        <w:numPr>
          <w:ilvl w:val="0"/>
          <w:numId w:val="16"/>
        </w:numPr>
        <w:tabs>
          <w:tab w:val="clear" w:pos="360"/>
          <w:tab w:val="num" w:pos="1080"/>
        </w:tabs>
        <w:ind w:left="1080"/>
        <w:jc w:val="both"/>
        <w:rPr>
          <w:rFonts w:cs="Arial"/>
          <w:sz w:val="23"/>
          <w:szCs w:val="23"/>
        </w:rPr>
      </w:pPr>
      <w:r w:rsidRPr="00183434">
        <w:rPr>
          <w:rFonts w:cs="Arial"/>
          <w:sz w:val="23"/>
          <w:szCs w:val="23"/>
        </w:rPr>
        <w:t>Borrowings at fixed rates – fair value of liabilities borrowings will fall</w:t>
      </w:r>
    </w:p>
    <w:p w14:paraId="57D140D1" w14:textId="77777777" w:rsidR="009B1EDC" w:rsidRPr="00183434" w:rsidRDefault="009B1EDC" w:rsidP="00183434">
      <w:pPr>
        <w:jc w:val="both"/>
        <w:rPr>
          <w:rFonts w:cs="Arial"/>
          <w:sz w:val="23"/>
          <w:szCs w:val="23"/>
        </w:rPr>
      </w:pPr>
    </w:p>
    <w:p w14:paraId="11B0718A" w14:textId="77777777" w:rsidR="009B1EDC" w:rsidRPr="00183434" w:rsidRDefault="009B1EDC" w:rsidP="00183434">
      <w:pPr>
        <w:pStyle w:val="TOC6"/>
        <w:numPr>
          <w:ilvl w:val="0"/>
          <w:numId w:val="17"/>
        </w:numPr>
        <w:tabs>
          <w:tab w:val="clear" w:pos="360"/>
          <w:tab w:val="num" w:pos="1080"/>
        </w:tabs>
        <w:ind w:left="1080"/>
        <w:jc w:val="both"/>
        <w:rPr>
          <w:rFonts w:cs="Arial"/>
          <w:sz w:val="23"/>
          <w:szCs w:val="23"/>
        </w:rPr>
      </w:pPr>
      <w:r w:rsidRPr="00183434">
        <w:rPr>
          <w:rFonts w:cs="Arial"/>
          <w:sz w:val="23"/>
          <w:szCs w:val="23"/>
        </w:rPr>
        <w:t>Investments at variable rates – interest income credited to the Surplus or Deficit on the Provision of Services will rise</w:t>
      </w:r>
    </w:p>
    <w:p w14:paraId="390065EB" w14:textId="77777777" w:rsidR="009B1EDC" w:rsidRPr="00183434" w:rsidRDefault="009B1EDC" w:rsidP="00183434">
      <w:pPr>
        <w:jc w:val="both"/>
        <w:rPr>
          <w:rFonts w:cs="Arial"/>
          <w:sz w:val="23"/>
          <w:szCs w:val="23"/>
        </w:rPr>
      </w:pPr>
    </w:p>
    <w:p w14:paraId="5F52B758" w14:textId="77777777" w:rsidR="009B1EDC" w:rsidRPr="00183434" w:rsidRDefault="009B1EDC" w:rsidP="00183434">
      <w:pPr>
        <w:pStyle w:val="TOC6"/>
        <w:numPr>
          <w:ilvl w:val="0"/>
          <w:numId w:val="18"/>
        </w:numPr>
        <w:tabs>
          <w:tab w:val="clear" w:pos="360"/>
          <w:tab w:val="num" w:pos="1080"/>
        </w:tabs>
        <w:ind w:left="1080"/>
        <w:jc w:val="both"/>
        <w:rPr>
          <w:rFonts w:cs="Arial"/>
          <w:sz w:val="23"/>
          <w:szCs w:val="23"/>
        </w:rPr>
      </w:pPr>
      <w:r w:rsidRPr="00183434">
        <w:rPr>
          <w:rFonts w:cs="Arial"/>
          <w:sz w:val="23"/>
          <w:szCs w:val="23"/>
        </w:rPr>
        <w:t>Investments at fixed rates – fair value of assets will fall</w:t>
      </w:r>
    </w:p>
    <w:p w14:paraId="0350960C" w14:textId="77777777" w:rsidR="009B1EDC" w:rsidRPr="00183434" w:rsidRDefault="009B1EDC" w:rsidP="00183434">
      <w:pPr>
        <w:jc w:val="both"/>
        <w:rPr>
          <w:rFonts w:cs="Arial"/>
          <w:sz w:val="23"/>
          <w:szCs w:val="23"/>
        </w:rPr>
      </w:pPr>
    </w:p>
    <w:p w14:paraId="4598ED20" w14:textId="77777777" w:rsidR="009B1EDC" w:rsidRPr="00183434" w:rsidRDefault="009B1EDC" w:rsidP="00183434">
      <w:pPr>
        <w:ind w:left="720"/>
        <w:jc w:val="both"/>
        <w:rPr>
          <w:rFonts w:cs="Arial"/>
          <w:sz w:val="23"/>
          <w:szCs w:val="23"/>
        </w:rPr>
      </w:pPr>
      <w:r w:rsidRPr="00183434">
        <w:rPr>
          <w:rFonts w:cs="Arial"/>
          <w:sz w:val="23"/>
          <w:szCs w:val="23"/>
        </w:rPr>
        <w:t>Investments measured at a</w:t>
      </w:r>
      <w:r w:rsidR="00EF2C9B" w:rsidRPr="00183434">
        <w:rPr>
          <w:rFonts w:cs="Arial"/>
          <w:sz w:val="23"/>
          <w:szCs w:val="23"/>
        </w:rPr>
        <w:t>mortised cost and loans taken out</w:t>
      </w:r>
      <w:r w:rsidRPr="00183434">
        <w:rPr>
          <w:rFonts w:cs="Arial"/>
          <w:sz w:val="23"/>
          <w:szCs w:val="23"/>
        </w:rPr>
        <w:t xml:space="preserve"> are not carried at fair value, so changes in their value would not impact on the Comprehensive Income &amp; Expenditure Statement. However, changes in interest payable and receivable on variable rate borrowings and inv</w:t>
      </w:r>
      <w:r w:rsidR="00EF2C9B" w:rsidRPr="00183434">
        <w:rPr>
          <w:rFonts w:cs="Arial"/>
          <w:sz w:val="23"/>
          <w:szCs w:val="23"/>
        </w:rPr>
        <w:t>estments will be posted to the S</w:t>
      </w:r>
      <w:r w:rsidRPr="00183434">
        <w:rPr>
          <w:rFonts w:cs="Arial"/>
          <w:sz w:val="23"/>
          <w:szCs w:val="23"/>
        </w:rPr>
        <w:t>urplus or Deficit on the Provision of Services and affect the General Fund Balance. Movements in the fair value of fixed rate investments that have a quoted market price will be reflected in Other Comprehensive Income &amp; Expenditure.</w:t>
      </w:r>
    </w:p>
    <w:p w14:paraId="16CDC942" w14:textId="77777777" w:rsidR="009B1EDC" w:rsidRPr="00183434" w:rsidRDefault="009B1EDC" w:rsidP="00183434">
      <w:pPr>
        <w:ind w:left="720"/>
        <w:jc w:val="both"/>
        <w:rPr>
          <w:rFonts w:cs="Arial"/>
          <w:sz w:val="23"/>
          <w:szCs w:val="23"/>
        </w:rPr>
      </w:pPr>
    </w:p>
    <w:p w14:paraId="6FAEB148" w14:textId="77777777" w:rsidR="009B1EDC" w:rsidRPr="00183434" w:rsidRDefault="009B1EDC" w:rsidP="00183434">
      <w:pPr>
        <w:ind w:left="720"/>
        <w:jc w:val="both"/>
        <w:rPr>
          <w:rFonts w:cs="Arial"/>
          <w:sz w:val="23"/>
          <w:szCs w:val="23"/>
        </w:rPr>
      </w:pPr>
      <w:r w:rsidRPr="00183434">
        <w:rPr>
          <w:rFonts w:cs="Arial"/>
          <w:sz w:val="23"/>
          <w:szCs w:val="23"/>
        </w:rPr>
        <w:t xml:space="preserve">Changes to interest rates are reviewed quarterly and used to update the annual budget setting information. This allows any adverse changes to be accommodated. </w:t>
      </w:r>
    </w:p>
    <w:p w14:paraId="1BD3FBDD" w14:textId="77777777" w:rsidR="009B1EDC" w:rsidRPr="00183434" w:rsidRDefault="009B1EDC" w:rsidP="00183434">
      <w:pPr>
        <w:ind w:left="720"/>
        <w:jc w:val="both"/>
        <w:rPr>
          <w:rFonts w:cs="Arial"/>
          <w:sz w:val="23"/>
          <w:szCs w:val="23"/>
          <w:highlight w:val="cyan"/>
        </w:rPr>
      </w:pPr>
    </w:p>
    <w:p w14:paraId="2E72058F" w14:textId="702675A3" w:rsidR="00374AF5" w:rsidRPr="00183434" w:rsidRDefault="009B1EDC" w:rsidP="00183434">
      <w:pPr>
        <w:spacing w:after="120"/>
        <w:ind w:left="720"/>
        <w:jc w:val="both"/>
        <w:rPr>
          <w:rFonts w:cs="Arial"/>
          <w:sz w:val="23"/>
          <w:szCs w:val="23"/>
        </w:rPr>
      </w:pPr>
      <w:proofErr w:type="gramStart"/>
      <w:r w:rsidRPr="00183434">
        <w:rPr>
          <w:rFonts w:cs="Arial"/>
          <w:sz w:val="23"/>
          <w:szCs w:val="23"/>
        </w:rPr>
        <w:t>At</w:t>
      </w:r>
      <w:proofErr w:type="gramEnd"/>
      <w:r w:rsidRPr="00183434">
        <w:rPr>
          <w:rFonts w:cs="Arial"/>
          <w:sz w:val="23"/>
          <w:szCs w:val="23"/>
        </w:rPr>
        <w:t xml:space="preserve"> 31 March 20</w:t>
      </w:r>
      <w:r w:rsidR="007C460D" w:rsidRPr="00183434">
        <w:rPr>
          <w:rFonts w:cs="Arial"/>
          <w:sz w:val="23"/>
          <w:szCs w:val="23"/>
        </w:rPr>
        <w:t>2</w:t>
      </w:r>
      <w:r w:rsidR="00244FC9" w:rsidRPr="00183434">
        <w:rPr>
          <w:rFonts w:cs="Arial"/>
          <w:sz w:val="23"/>
          <w:szCs w:val="23"/>
        </w:rPr>
        <w:t>6</w:t>
      </w:r>
      <w:r w:rsidRPr="00183434">
        <w:rPr>
          <w:rFonts w:cs="Arial"/>
          <w:sz w:val="23"/>
          <w:szCs w:val="23"/>
        </w:rPr>
        <w:t>, if all interest rates had been 1% higher (with all other variables held constant) the financial effect would be:</w:t>
      </w:r>
    </w:p>
    <w:p w14:paraId="674C023C" w14:textId="10E94C73" w:rsidR="00157141" w:rsidRPr="00183434" w:rsidRDefault="00157141" w:rsidP="00183434">
      <w:pPr>
        <w:spacing w:after="120"/>
        <w:ind w:left="720"/>
        <w:jc w:val="both"/>
        <w:rPr>
          <w:rFonts w:cs="Arial"/>
          <w:sz w:val="23"/>
          <w:szCs w:val="23"/>
        </w:rPr>
      </w:pPr>
    </w:p>
    <w:p w14:paraId="69FE95FB" w14:textId="0FB1D971" w:rsidR="00157141" w:rsidRPr="00183434" w:rsidRDefault="0064641E" w:rsidP="00183434">
      <w:pPr>
        <w:spacing w:after="120"/>
        <w:ind w:left="720"/>
        <w:jc w:val="both"/>
        <w:rPr>
          <w:rFonts w:cs="Arial"/>
          <w:sz w:val="23"/>
          <w:szCs w:val="23"/>
        </w:rPr>
      </w:pPr>
      <w:r w:rsidRPr="00183434">
        <w:rPr>
          <w:rFonts w:cs="Arial"/>
          <w:sz w:val="23"/>
          <w:szCs w:val="23"/>
        </w:rPr>
        <w:object w:dxaOrig="8683" w:dyaOrig="2816" w14:anchorId="0B4275E7">
          <v:shape id="_x0000_i1092" type="#_x0000_t75" style="width:434.3pt;height:141.1pt" o:ole="">
            <v:imagedata r:id="rId151" o:title=""/>
          </v:shape>
          <o:OLEObject Type="Link" ProgID="Excel.Sheet.12" ShapeID="_x0000_i1092" DrawAspect="Content" r:id="rId152" UpdateMode="Always">
            <o:LinkType>EnhancedMetaFile</o:LinkType>
            <o:LockedField>false</o:LockedField>
            <o:FieldCodes>\* MERGEFORMAT</o:FieldCodes>
          </o:OLEObject>
        </w:object>
      </w:r>
    </w:p>
    <w:p w14:paraId="5AB0250C" w14:textId="77777777" w:rsidR="00EF3467" w:rsidRPr="00183434" w:rsidRDefault="00EF3467" w:rsidP="00183434">
      <w:pPr>
        <w:spacing w:after="120"/>
        <w:ind w:left="720"/>
        <w:jc w:val="both"/>
        <w:rPr>
          <w:rFonts w:cs="Arial"/>
          <w:sz w:val="23"/>
          <w:szCs w:val="23"/>
          <w:highlight w:val="cyan"/>
        </w:rPr>
      </w:pPr>
    </w:p>
    <w:p w14:paraId="66CCA462" w14:textId="77777777" w:rsidR="009B1EDC" w:rsidRPr="00183434" w:rsidRDefault="009B1EDC" w:rsidP="00183434">
      <w:pPr>
        <w:spacing w:after="120"/>
        <w:ind w:left="720"/>
        <w:jc w:val="both"/>
        <w:rPr>
          <w:rFonts w:cs="Arial"/>
          <w:sz w:val="23"/>
          <w:szCs w:val="23"/>
        </w:rPr>
      </w:pPr>
      <w:r w:rsidRPr="00183434">
        <w:rPr>
          <w:rFonts w:cs="Arial"/>
          <w:sz w:val="23"/>
          <w:szCs w:val="23"/>
        </w:rPr>
        <w:t>The impact of a 1% fall in interest rates would be as above but with the movements being reversed.</w:t>
      </w:r>
    </w:p>
    <w:p w14:paraId="53CB3A83" w14:textId="77777777" w:rsidR="00867C78" w:rsidRPr="00183434" w:rsidRDefault="00867C78" w:rsidP="00183434">
      <w:pPr>
        <w:ind w:left="720"/>
        <w:jc w:val="both"/>
        <w:rPr>
          <w:rFonts w:cs="Arial"/>
          <w:sz w:val="23"/>
          <w:szCs w:val="23"/>
          <w:highlight w:val="cyan"/>
        </w:rPr>
      </w:pPr>
    </w:p>
    <w:p w14:paraId="3690978C"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Price Risk</w:t>
      </w:r>
    </w:p>
    <w:p w14:paraId="6412952C" w14:textId="77777777" w:rsidR="009B1EDC" w:rsidRPr="00183434" w:rsidRDefault="009B1EDC" w:rsidP="00183434">
      <w:pPr>
        <w:tabs>
          <w:tab w:val="num" w:pos="1800"/>
        </w:tabs>
        <w:ind w:left="720"/>
        <w:jc w:val="both"/>
        <w:rPr>
          <w:rFonts w:cs="Arial"/>
          <w:sz w:val="23"/>
          <w:szCs w:val="23"/>
          <w:u w:val="single"/>
        </w:rPr>
      </w:pPr>
    </w:p>
    <w:p w14:paraId="37F1A57B" w14:textId="77777777" w:rsidR="00E26724" w:rsidRPr="00183434" w:rsidRDefault="009B1EDC" w:rsidP="00183434">
      <w:pPr>
        <w:pStyle w:val="BodyTextIndent2"/>
        <w:tabs>
          <w:tab w:val="num" w:pos="1800"/>
        </w:tabs>
        <w:jc w:val="both"/>
        <w:rPr>
          <w:rFonts w:cs="Arial"/>
          <w:sz w:val="23"/>
          <w:szCs w:val="23"/>
        </w:rPr>
      </w:pPr>
      <w:r w:rsidRPr="00183434">
        <w:rPr>
          <w:rFonts w:cs="Arial"/>
          <w:sz w:val="23"/>
          <w:szCs w:val="23"/>
        </w:rPr>
        <w:t xml:space="preserve">The authority may at times hold some financial instruments whose capital value may fluctuate </w:t>
      </w:r>
      <w:proofErr w:type="gramStart"/>
      <w:r w:rsidRPr="00183434">
        <w:rPr>
          <w:rFonts w:cs="Arial"/>
          <w:sz w:val="23"/>
          <w:szCs w:val="23"/>
        </w:rPr>
        <w:t>as a result of</w:t>
      </w:r>
      <w:proofErr w:type="gramEnd"/>
      <w:r w:rsidRPr="00183434">
        <w:rPr>
          <w:rFonts w:cs="Arial"/>
          <w:sz w:val="23"/>
          <w:szCs w:val="23"/>
        </w:rPr>
        <w:t xml:space="preserve"> market conditions. </w:t>
      </w:r>
      <w:proofErr w:type="gramStart"/>
      <w:r w:rsidRPr="00183434">
        <w:rPr>
          <w:rFonts w:cs="Arial"/>
          <w:sz w:val="23"/>
          <w:szCs w:val="23"/>
        </w:rPr>
        <w:t>However</w:t>
      </w:r>
      <w:proofErr w:type="gramEnd"/>
      <w:r w:rsidRPr="00183434">
        <w:rPr>
          <w:rFonts w:cs="Arial"/>
          <w:sz w:val="23"/>
          <w:szCs w:val="23"/>
        </w:rPr>
        <w:t xml:space="preserve"> these instruments would all be kept on a ‘hold to maturity’ basis and therefore any temporary fluctuations in the market value of these products would have no impact on the authority’s finances.</w:t>
      </w:r>
    </w:p>
    <w:p w14:paraId="4C663A1F" w14:textId="77777777" w:rsidR="00791FF3" w:rsidRPr="00183434" w:rsidRDefault="00791FF3" w:rsidP="00183434">
      <w:pPr>
        <w:tabs>
          <w:tab w:val="num" w:pos="1800"/>
        </w:tabs>
        <w:jc w:val="both"/>
        <w:rPr>
          <w:rFonts w:cs="Arial"/>
          <w:sz w:val="23"/>
          <w:szCs w:val="23"/>
        </w:rPr>
      </w:pPr>
    </w:p>
    <w:p w14:paraId="08D09A52" w14:textId="77777777" w:rsidR="009B1EDC" w:rsidRPr="00183434" w:rsidRDefault="009B1EDC" w:rsidP="00183434">
      <w:pPr>
        <w:tabs>
          <w:tab w:val="num" w:pos="1800"/>
        </w:tabs>
        <w:ind w:left="720"/>
        <w:jc w:val="both"/>
        <w:rPr>
          <w:rFonts w:cs="Arial"/>
          <w:sz w:val="23"/>
          <w:szCs w:val="23"/>
          <w:u w:val="single"/>
        </w:rPr>
      </w:pPr>
      <w:r w:rsidRPr="00183434">
        <w:rPr>
          <w:rFonts w:cs="Arial"/>
          <w:sz w:val="23"/>
          <w:szCs w:val="23"/>
          <w:u w:val="single"/>
        </w:rPr>
        <w:t xml:space="preserve">Foreign Exchange Risk  </w:t>
      </w:r>
    </w:p>
    <w:p w14:paraId="45BCF436" w14:textId="77777777" w:rsidR="009B1EDC" w:rsidRPr="00183434" w:rsidRDefault="009B1EDC" w:rsidP="00183434">
      <w:pPr>
        <w:tabs>
          <w:tab w:val="num" w:pos="1800"/>
        </w:tabs>
        <w:ind w:left="720"/>
        <w:jc w:val="both"/>
        <w:rPr>
          <w:rFonts w:cs="Arial"/>
          <w:sz w:val="23"/>
          <w:szCs w:val="23"/>
          <w:u w:val="single"/>
        </w:rPr>
      </w:pPr>
    </w:p>
    <w:p w14:paraId="7CF18CD6" w14:textId="77777777" w:rsidR="00867C78" w:rsidRPr="00183434" w:rsidRDefault="009B1EDC" w:rsidP="00183434">
      <w:pPr>
        <w:pStyle w:val="BodyTextIndent2"/>
        <w:tabs>
          <w:tab w:val="num" w:pos="1800"/>
        </w:tabs>
        <w:jc w:val="both"/>
        <w:rPr>
          <w:rFonts w:cs="Arial"/>
          <w:sz w:val="23"/>
          <w:szCs w:val="23"/>
        </w:rPr>
      </w:pPr>
      <w:r w:rsidRPr="00183434">
        <w:rPr>
          <w:rFonts w:cs="Arial"/>
          <w:sz w:val="23"/>
          <w:szCs w:val="23"/>
        </w:rPr>
        <w:t>The authority has no financial assets or liabilities denominated in foreign currencies and therefore has no exposure to losses arising from movements in exchange rates.</w:t>
      </w:r>
    </w:p>
    <w:p w14:paraId="59B4EA0C" w14:textId="77777777" w:rsidR="00275517" w:rsidRPr="00183434" w:rsidRDefault="00275517" w:rsidP="00183434">
      <w:pPr>
        <w:jc w:val="both"/>
        <w:rPr>
          <w:rFonts w:cs="Arial"/>
          <w:sz w:val="23"/>
          <w:szCs w:val="23"/>
          <w:highlight w:val="cyan"/>
        </w:rPr>
      </w:pPr>
    </w:p>
    <w:p w14:paraId="5E6B0925" w14:textId="77777777" w:rsidR="009B127F" w:rsidRPr="00183434" w:rsidRDefault="009B127F" w:rsidP="00183434">
      <w:pPr>
        <w:jc w:val="both"/>
        <w:rPr>
          <w:rFonts w:cs="Arial"/>
          <w:b/>
          <w:bCs/>
          <w:sz w:val="23"/>
          <w:szCs w:val="23"/>
          <w:highlight w:val="cyan"/>
        </w:rPr>
      </w:pPr>
      <w:r w:rsidRPr="00183434">
        <w:rPr>
          <w:rFonts w:cs="Arial"/>
          <w:b/>
          <w:bCs/>
          <w:sz w:val="23"/>
          <w:szCs w:val="23"/>
          <w:highlight w:val="cyan"/>
        </w:rPr>
        <w:br w:type="page"/>
      </w:r>
    </w:p>
    <w:p w14:paraId="0C83B564" w14:textId="49AF1FFD" w:rsidR="00386757" w:rsidRPr="00183434" w:rsidRDefault="001B2752" w:rsidP="00183434">
      <w:pPr>
        <w:jc w:val="both"/>
        <w:rPr>
          <w:rFonts w:cs="Arial"/>
          <w:b/>
          <w:sz w:val="23"/>
          <w:szCs w:val="23"/>
          <w:u w:val="single"/>
        </w:rPr>
      </w:pPr>
      <w:r w:rsidRPr="00183434">
        <w:rPr>
          <w:rFonts w:cs="Arial"/>
          <w:b/>
          <w:bCs/>
          <w:sz w:val="23"/>
          <w:szCs w:val="23"/>
        </w:rPr>
        <w:lastRenderedPageBreak/>
        <w:t>39</w:t>
      </w:r>
      <w:r w:rsidR="00386757" w:rsidRPr="00183434">
        <w:rPr>
          <w:rFonts w:cs="Arial"/>
          <w:b/>
          <w:bCs/>
          <w:sz w:val="23"/>
          <w:szCs w:val="23"/>
        </w:rPr>
        <w:t>.</w:t>
      </w:r>
      <w:r w:rsidR="00386757" w:rsidRPr="00183434">
        <w:rPr>
          <w:rFonts w:cs="Arial"/>
          <w:sz w:val="23"/>
          <w:szCs w:val="23"/>
        </w:rPr>
        <w:t xml:space="preserve">      </w:t>
      </w:r>
      <w:r w:rsidR="00386757" w:rsidRPr="00183434">
        <w:rPr>
          <w:rFonts w:cs="Arial"/>
          <w:b/>
          <w:sz w:val="23"/>
          <w:szCs w:val="23"/>
          <w:u w:val="single"/>
        </w:rPr>
        <w:t>USABLE RESERVES</w:t>
      </w:r>
    </w:p>
    <w:p w14:paraId="33D26770" w14:textId="77777777" w:rsidR="00386757" w:rsidRPr="00183434" w:rsidRDefault="00386757" w:rsidP="00183434">
      <w:pPr>
        <w:jc w:val="both"/>
        <w:rPr>
          <w:rFonts w:cs="Arial"/>
          <w:b/>
          <w:sz w:val="23"/>
          <w:szCs w:val="23"/>
        </w:rPr>
      </w:pPr>
    </w:p>
    <w:p w14:paraId="29D710AD" w14:textId="5704EBE3" w:rsidR="00386757" w:rsidRPr="00183434" w:rsidRDefault="000B7D57" w:rsidP="00183434">
      <w:pPr>
        <w:ind w:left="709"/>
        <w:jc w:val="both"/>
        <w:rPr>
          <w:rFonts w:cs="Arial"/>
          <w:b/>
          <w:sz w:val="23"/>
          <w:szCs w:val="23"/>
        </w:rPr>
      </w:pPr>
      <w:r w:rsidRPr="00183434">
        <w:rPr>
          <w:rFonts w:cs="Arial"/>
          <w:b/>
          <w:sz w:val="23"/>
          <w:szCs w:val="23"/>
        </w:rPr>
        <w:object w:dxaOrig="7133" w:dyaOrig="5794" w14:anchorId="09BF1158">
          <v:shape id="_x0000_i1093" type="#_x0000_t75" style="width:356.55pt;height:289.15pt" o:ole="">
            <v:imagedata r:id="rId153" o:title=""/>
          </v:shape>
          <o:OLEObject Type="Link" ProgID="Excel.Sheet.12" ShapeID="_x0000_i1093" DrawAspect="Content" r:id="rId154" UpdateMode="Always">
            <o:LinkType>EnhancedMetaFile</o:LinkType>
            <o:LockedField>false</o:LockedField>
            <o:FieldCodes>\* MERGEFORMAT</o:FieldCodes>
          </o:OLEObject>
        </w:object>
      </w:r>
    </w:p>
    <w:p w14:paraId="3AA78049" w14:textId="77777777" w:rsidR="00F57A21" w:rsidRPr="00183434" w:rsidRDefault="00F57A21" w:rsidP="00183434">
      <w:pPr>
        <w:ind w:left="567"/>
        <w:jc w:val="both"/>
        <w:rPr>
          <w:rFonts w:cs="Arial"/>
          <w:b/>
          <w:sz w:val="23"/>
          <w:szCs w:val="23"/>
          <w:highlight w:val="cyan"/>
        </w:rPr>
      </w:pPr>
    </w:p>
    <w:p w14:paraId="46F13647" w14:textId="77777777" w:rsidR="00386757" w:rsidRPr="00183434" w:rsidRDefault="00386757" w:rsidP="00183434">
      <w:pPr>
        <w:pStyle w:val="BodyTextIndent2"/>
        <w:ind w:left="709"/>
        <w:jc w:val="both"/>
        <w:rPr>
          <w:rFonts w:cs="Arial"/>
          <w:sz w:val="23"/>
          <w:szCs w:val="23"/>
        </w:rPr>
      </w:pPr>
      <w:r w:rsidRPr="00183434">
        <w:rPr>
          <w:rFonts w:cs="Arial"/>
          <w:sz w:val="23"/>
          <w:szCs w:val="23"/>
        </w:rPr>
        <w:t>Movements in the Council’s usable reserves are detailed in the Mo</w:t>
      </w:r>
      <w:r w:rsidR="00D36841" w:rsidRPr="00183434">
        <w:rPr>
          <w:rFonts w:cs="Arial"/>
          <w:sz w:val="23"/>
          <w:szCs w:val="23"/>
        </w:rPr>
        <w:t>vement in Reserves Statement</w:t>
      </w:r>
      <w:r w:rsidRPr="00183434">
        <w:rPr>
          <w:rFonts w:cs="Arial"/>
          <w:sz w:val="23"/>
          <w:szCs w:val="23"/>
        </w:rPr>
        <w:t>. A detailed breakdown of the Council</w:t>
      </w:r>
      <w:r w:rsidR="003E0B03" w:rsidRPr="00183434">
        <w:rPr>
          <w:rFonts w:cs="Arial"/>
          <w:sz w:val="23"/>
          <w:szCs w:val="23"/>
        </w:rPr>
        <w:t>’</w:t>
      </w:r>
      <w:r w:rsidRPr="00183434">
        <w:rPr>
          <w:rFonts w:cs="Arial"/>
          <w:sz w:val="23"/>
          <w:szCs w:val="23"/>
        </w:rPr>
        <w:t xml:space="preserve">s earmarked reserves is provided in Note </w:t>
      </w:r>
      <w:r w:rsidR="005E5D94" w:rsidRPr="00183434">
        <w:rPr>
          <w:rFonts w:cs="Arial"/>
          <w:sz w:val="23"/>
          <w:szCs w:val="23"/>
        </w:rPr>
        <w:t>11</w:t>
      </w:r>
      <w:r w:rsidRPr="00183434">
        <w:rPr>
          <w:rFonts w:cs="Arial"/>
          <w:sz w:val="23"/>
          <w:szCs w:val="23"/>
        </w:rPr>
        <w:t>.</w:t>
      </w:r>
      <w:r w:rsidR="00B763AC" w:rsidRPr="00183434">
        <w:rPr>
          <w:rFonts w:cs="Arial"/>
          <w:sz w:val="23"/>
          <w:szCs w:val="23"/>
        </w:rPr>
        <w:t xml:space="preserve"> </w:t>
      </w:r>
      <w:r w:rsidRPr="00183434">
        <w:rPr>
          <w:rFonts w:cs="Arial"/>
          <w:sz w:val="23"/>
          <w:szCs w:val="23"/>
        </w:rPr>
        <w:t>Two further reserves are included in the balance sheet within the Usable Reserves category and the details of these are shown below:</w:t>
      </w:r>
    </w:p>
    <w:p w14:paraId="2EBC1FC1" w14:textId="77777777" w:rsidR="00065AAC" w:rsidRPr="00183434" w:rsidRDefault="00065AAC" w:rsidP="00183434">
      <w:pPr>
        <w:pStyle w:val="BodyTextIndent2"/>
        <w:ind w:left="0"/>
        <w:jc w:val="both"/>
        <w:rPr>
          <w:rFonts w:cs="Arial"/>
          <w:sz w:val="23"/>
          <w:szCs w:val="23"/>
        </w:rPr>
      </w:pPr>
    </w:p>
    <w:p w14:paraId="021B006A" w14:textId="72DA3A74" w:rsidR="00386757" w:rsidRPr="00183434" w:rsidRDefault="0023632A" w:rsidP="00183434">
      <w:pPr>
        <w:pStyle w:val="BodyTextIndent2"/>
        <w:ind w:left="709"/>
        <w:jc w:val="both"/>
        <w:rPr>
          <w:rFonts w:cs="Arial"/>
          <w:sz w:val="23"/>
          <w:szCs w:val="23"/>
        </w:rPr>
      </w:pPr>
      <w:r w:rsidRPr="00183434">
        <w:rPr>
          <w:rFonts w:cs="Arial"/>
          <w:sz w:val="23"/>
          <w:szCs w:val="23"/>
        </w:rPr>
        <w:object w:dxaOrig="7133" w:dyaOrig="3416" w14:anchorId="4D4E76B3">
          <v:shape id="_x0000_i1094" type="#_x0000_t75" style="width:356.55pt;height:171.05pt" o:ole="">
            <v:imagedata r:id="rId155" o:title=""/>
          </v:shape>
          <o:OLEObject Type="Link" ProgID="Excel.Sheet.12" ShapeID="_x0000_i1094" DrawAspect="Content" r:id="rId156" UpdateMode="Always">
            <o:LinkType>EnhancedMetaFile</o:LinkType>
            <o:LockedField>false</o:LockedField>
            <o:FieldCodes>\* MERGEFORMAT</o:FieldCodes>
          </o:OLEObject>
        </w:object>
      </w:r>
    </w:p>
    <w:p w14:paraId="60EB990E" w14:textId="77777777" w:rsidR="00065AAC" w:rsidRPr="00183434" w:rsidRDefault="00065AAC" w:rsidP="00183434">
      <w:pPr>
        <w:pStyle w:val="BodyTextIndent2"/>
        <w:ind w:left="709"/>
        <w:jc w:val="both"/>
        <w:rPr>
          <w:rFonts w:cs="Arial"/>
          <w:sz w:val="23"/>
          <w:szCs w:val="23"/>
          <w:highlight w:val="cyan"/>
        </w:rPr>
      </w:pPr>
    </w:p>
    <w:p w14:paraId="04418CB5" w14:textId="77777777" w:rsidR="00577ECE" w:rsidRPr="00183434" w:rsidRDefault="00577ECE" w:rsidP="00183434">
      <w:pPr>
        <w:pStyle w:val="BodyTextIndent2"/>
        <w:ind w:left="709"/>
        <w:jc w:val="both"/>
        <w:rPr>
          <w:rFonts w:cs="Arial"/>
          <w:sz w:val="23"/>
          <w:szCs w:val="23"/>
          <w:highlight w:val="cyan"/>
        </w:rPr>
      </w:pPr>
    </w:p>
    <w:p w14:paraId="495B90EB" w14:textId="77777777" w:rsidR="00F57A21" w:rsidRPr="00183434" w:rsidRDefault="00F57A21" w:rsidP="00183434">
      <w:pPr>
        <w:pStyle w:val="BodyTextIndent2"/>
        <w:ind w:left="567"/>
        <w:jc w:val="both"/>
        <w:rPr>
          <w:rFonts w:cs="Arial"/>
          <w:sz w:val="23"/>
          <w:szCs w:val="23"/>
          <w:highlight w:val="cyan"/>
        </w:rPr>
      </w:pPr>
    </w:p>
    <w:p w14:paraId="15CA7A41" w14:textId="77777777" w:rsidR="00CA5C87" w:rsidRPr="00183434" w:rsidRDefault="00CA5C87" w:rsidP="00183434">
      <w:pPr>
        <w:pStyle w:val="BodyTextIndent2"/>
        <w:ind w:left="567"/>
        <w:jc w:val="both"/>
        <w:rPr>
          <w:rFonts w:cs="Arial"/>
          <w:sz w:val="23"/>
          <w:szCs w:val="23"/>
        </w:rPr>
      </w:pPr>
    </w:p>
    <w:p w14:paraId="63EC87D4" w14:textId="77777777" w:rsidR="00CA5C87" w:rsidRPr="00183434" w:rsidRDefault="00CA5C87" w:rsidP="00183434">
      <w:pPr>
        <w:pStyle w:val="BodyTextIndent2"/>
        <w:ind w:left="567"/>
        <w:jc w:val="both"/>
        <w:rPr>
          <w:rFonts w:cs="Arial"/>
          <w:sz w:val="23"/>
          <w:szCs w:val="23"/>
        </w:rPr>
      </w:pPr>
    </w:p>
    <w:p w14:paraId="6ACCFEF9" w14:textId="24758E08" w:rsidR="00CA5C87" w:rsidRPr="00183434" w:rsidRDefault="000B7D57" w:rsidP="00183434">
      <w:pPr>
        <w:pStyle w:val="BodyTextIndent2"/>
        <w:ind w:left="567"/>
        <w:jc w:val="both"/>
        <w:rPr>
          <w:rFonts w:cs="Arial"/>
          <w:sz w:val="23"/>
          <w:szCs w:val="23"/>
        </w:rPr>
      </w:pPr>
      <w:r w:rsidRPr="00183434">
        <w:rPr>
          <w:rFonts w:cs="Arial"/>
          <w:sz w:val="23"/>
          <w:szCs w:val="23"/>
        </w:rPr>
        <w:object w:dxaOrig="7133" w:dyaOrig="3166" w14:anchorId="3FE568EB">
          <v:shape id="_x0000_i1095" type="#_x0000_t75" style="width:356.55pt;height:158.4pt" o:ole="">
            <v:imagedata r:id="rId157" o:title=""/>
          </v:shape>
          <o:OLEObject Type="Link" ProgID="Excel.Sheet.12" ShapeID="_x0000_i1095" DrawAspect="Content" r:id="rId158" UpdateMode="Always">
            <o:LinkType>EnhancedMetaFile</o:LinkType>
            <o:LockedField>false</o:LockedField>
            <o:FieldCodes>\* MERGEFORMAT</o:FieldCodes>
          </o:OLEObject>
        </w:object>
      </w:r>
    </w:p>
    <w:p w14:paraId="732A4D85" w14:textId="77777777" w:rsidR="00296819" w:rsidRPr="00183434" w:rsidRDefault="00296819" w:rsidP="00183434">
      <w:pPr>
        <w:pStyle w:val="BodyTextIndent2"/>
        <w:ind w:left="709"/>
        <w:jc w:val="both"/>
        <w:rPr>
          <w:rFonts w:cs="Arial"/>
          <w:sz w:val="23"/>
          <w:szCs w:val="23"/>
          <w:highlight w:val="cyan"/>
        </w:rPr>
      </w:pPr>
    </w:p>
    <w:p w14:paraId="13C7C4B8" w14:textId="77777777" w:rsidR="00386757" w:rsidRPr="00183434" w:rsidRDefault="00386757" w:rsidP="00183434">
      <w:pPr>
        <w:pStyle w:val="BodyTextIndent2"/>
        <w:ind w:left="0"/>
        <w:jc w:val="both"/>
        <w:rPr>
          <w:rFonts w:cs="Arial"/>
          <w:b/>
          <w:sz w:val="23"/>
          <w:szCs w:val="23"/>
          <w:u w:val="single"/>
        </w:rPr>
      </w:pPr>
      <w:r w:rsidRPr="00183434">
        <w:rPr>
          <w:rFonts w:cs="Arial"/>
          <w:b/>
          <w:sz w:val="23"/>
          <w:szCs w:val="23"/>
        </w:rPr>
        <w:t>4</w:t>
      </w:r>
      <w:r w:rsidR="001B2752" w:rsidRPr="00183434">
        <w:rPr>
          <w:rFonts w:cs="Arial"/>
          <w:b/>
          <w:sz w:val="23"/>
          <w:szCs w:val="23"/>
        </w:rPr>
        <w:t>0</w:t>
      </w:r>
      <w:r w:rsidRPr="00183434">
        <w:rPr>
          <w:rFonts w:cs="Arial"/>
          <w:sz w:val="23"/>
          <w:szCs w:val="23"/>
        </w:rPr>
        <w:t>.</w:t>
      </w:r>
      <w:r w:rsidRPr="00183434">
        <w:rPr>
          <w:rFonts w:cs="Arial"/>
          <w:sz w:val="23"/>
          <w:szCs w:val="23"/>
        </w:rPr>
        <w:tab/>
      </w:r>
      <w:r w:rsidRPr="00183434">
        <w:rPr>
          <w:rFonts w:cs="Arial"/>
          <w:b/>
          <w:sz w:val="23"/>
          <w:szCs w:val="23"/>
          <w:u w:val="single"/>
        </w:rPr>
        <w:t>UNUSABLE RESERVES</w:t>
      </w:r>
    </w:p>
    <w:p w14:paraId="71D27A77" w14:textId="77777777" w:rsidR="00336A02" w:rsidRPr="00183434" w:rsidRDefault="00336A02" w:rsidP="00183434">
      <w:pPr>
        <w:pStyle w:val="BodyTextIndent2"/>
        <w:ind w:left="0"/>
        <w:jc w:val="both"/>
        <w:rPr>
          <w:rFonts w:cs="Arial"/>
          <w:b/>
          <w:sz w:val="23"/>
          <w:szCs w:val="23"/>
          <w:u w:val="single"/>
        </w:rPr>
      </w:pPr>
    </w:p>
    <w:p w14:paraId="6BF2884A" w14:textId="39016FEC" w:rsidR="00A47845" w:rsidRPr="00183434" w:rsidRDefault="000B7D57" w:rsidP="00183434">
      <w:pPr>
        <w:pStyle w:val="BodyTextIndent2"/>
        <w:ind w:left="0" w:firstLine="720"/>
        <w:jc w:val="both"/>
        <w:rPr>
          <w:rFonts w:cs="Arial"/>
          <w:b/>
          <w:sz w:val="23"/>
          <w:szCs w:val="23"/>
          <w:u w:val="single"/>
        </w:rPr>
      </w:pPr>
      <w:r w:rsidRPr="00183434">
        <w:rPr>
          <w:rFonts w:cs="Arial"/>
          <w:b/>
          <w:sz w:val="23"/>
          <w:szCs w:val="23"/>
          <w:u w:val="single"/>
        </w:rPr>
        <w:object w:dxaOrig="7133" w:dyaOrig="4860" w14:anchorId="109FA8D0">
          <v:shape id="_x0000_i1096" type="#_x0000_t75" style="width:356.55pt;height:243.05pt" o:ole="">
            <v:imagedata r:id="rId159" o:title=""/>
          </v:shape>
          <o:OLEObject Type="Link" ProgID="Excel.Sheet.12" ShapeID="_x0000_i1096" DrawAspect="Content" r:id="rId160" UpdateMode="Always">
            <o:LinkType>EnhancedMetaFile</o:LinkType>
            <o:LockedField>false</o:LockedField>
            <o:FieldCodes>\* MERGEFORMAT</o:FieldCodes>
          </o:OLEObject>
        </w:object>
      </w:r>
    </w:p>
    <w:p w14:paraId="521FF50A" w14:textId="581BE2D7" w:rsidR="00386757" w:rsidRPr="00183434" w:rsidRDefault="00386757" w:rsidP="00183434">
      <w:pPr>
        <w:pStyle w:val="BodyTextIndent2"/>
        <w:jc w:val="both"/>
        <w:rPr>
          <w:rFonts w:cs="Arial"/>
          <w:sz w:val="23"/>
          <w:szCs w:val="23"/>
          <w:highlight w:val="cyan"/>
        </w:rPr>
      </w:pPr>
    </w:p>
    <w:p w14:paraId="2F084F9C" w14:textId="77777777" w:rsidR="00336A02" w:rsidRPr="00183434" w:rsidRDefault="00336A02" w:rsidP="00183434">
      <w:pPr>
        <w:jc w:val="both"/>
        <w:rPr>
          <w:rFonts w:cs="Arial"/>
          <w:b/>
          <w:sz w:val="23"/>
          <w:szCs w:val="23"/>
          <w:highlight w:val="cyan"/>
        </w:rPr>
      </w:pPr>
    </w:p>
    <w:p w14:paraId="6CE2D861" w14:textId="77777777" w:rsidR="00386757" w:rsidRPr="00183434" w:rsidRDefault="006D58A7" w:rsidP="00183434">
      <w:pPr>
        <w:jc w:val="both"/>
        <w:rPr>
          <w:rFonts w:cs="Arial"/>
          <w:b/>
          <w:sz w:val="23"/>
          <w:szCs w:val="23"/>
          <w:u w:val="single"/>
        </w:rPr>
      </w:pPr>
      <w:r w:rsidRPr="00183434">
        <w:rPr>
          <w:rFonts w:cs="Arial"/>
          <w:b/>
          <w:sz w:val="23"/>
          <w:szCs w:val="23"/>
        </w:rPr>
        <w:t>4</w:t>
      </w:r>
      <w:r w:rsidR="001B2752" w:rsidRPr="00183434">
        <w:rPr>
          <w:rFonts w:cs="Arial"/>
          <w:b/>
          <w:sz w:val="23"/>
          <w:szCs w:val="23"/>
        </w:rPr>
        <w:t>1</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REVALUATION RESERVE</w:t>
      </w:r>
    </w:p>
    <w:p w14:paraId="5593F0BB" w14:textId="77777777" w:rsidR="00386757" w:rsidRPr="00183434" w:rsidRDefault="00386757" w:rsidP="00183434">
      <w:pPr>
        <w:jc w:val="both"/>
        <w:rPr>
          <w:rFonts w:cs="Arial"/>
          <w:b/>
          <w:sz w:val="23"/>
          <w:szCs w:val="23"/>
          <w:u w:val="single"/>
        </w:rPr>
      </w:pPr>
    </w:p>
    <w:p w14:paraId="27871A90" w14:textId="77777777" w:rsidR="00386757" w:rsidRPr="00183434" w:rsidRDefault="00386757" w:rsidP="00183434">
      <w:pPr>
        <w:ind w:left="720"/>
        <w:jc w:val="both"/>
        <w:rPr>
          <w:rFonts w:cs="Arial"/>
          <w:sz w:val="23"/>
          <w:szCs w:val="23"/>
        </w:rPr>
      </w:pPr>
      <w:r w:rsidRPr="00183434">
        <w:rPr>
          <w:rFonts w:cs="Arial"/>
          <w:sz w:val="23"/>
          <w:szCs w:val="23"/>
        </w:rPr>
        <w:t>The Revaluation Reserve contains the gains made by the Authority arising from increases in the value of its Property, Plant and Equipment. The balance is reduced when assets with accumulated gains are:</w:t>
      </w:r>
    </w:p>
    <w:p w14:paraId="0512DDFC" w14:textId="77777777" w:rsidR="00386757" w:rsidRPr="00183434" w:rsidRDefault="00386757" w:rsidP="00183434">
      <w:pPr>
        <w:ind w:left="720"/>
        <w:jc w:val="both"/>
        <w:rPr>
          <w:rFonts w:cs="Arial"/>
          <w:sz w:val="23"/>
          <w:szCs w:val="23"/>
        </w:rPr>
      </w:pPr>
    </w:p>
    <w:p w14:paraId="3FDAAD97" w14:textId="77777777" w:rsidR="00386757" w:rsidRPr="00183434" w:rsidRDefault="00386757" w:rsidP="00183434">
      <w:pPr>
        <w:numPr>
          <w:ilvl w:val="0"/>
          <w:numId w:val="31"/>
        </w:numPr>
        <w:jc w:val="both"/>
        <w:rPr>
          <w:rFonts w:cs="Arial"/>
          <w:sz w:val="23"/>
          <w:szCs w:val="23"/>
        </w:rPr>
      </w:pPr>
      <w:r w:rsidRPr="00183434">
        <w:rPr>
          <w:rFonts w:cs="Arial"/>
          <w:sz w:val="23"/>
          <w:szCs w:val="23"/>
        </w:rPr>
        <w:t>revalued downwards or impaired and the gains are lost</w:t>
      </w:r>
    </w:p>
    <w:p w14:paraId="434257AA" w14:textId="77777777" w:rsidR="00386757" w:rsidRPr="00183434" w:rsidRDefault="00386757" w:rsidP="00183434">
      <w:pPr>
        <w:numPr>
          <w:ilvl w:val="0"/>
          <w:numId w:val="31"/>
        </w:numPr>
        <w:jc w:val="both"/>
        <w:rPr>
          <w:rFonts w:cs="Arial"/>
          <w:sz w:val="23"/>
          <w:szCs w:val="23"/>
        </w:rPr>
      </w:pPr>
      <w:r w:rsidRPr="00183434">
        <w:rPr>
          <w:rFonts w:cs="Arial"/>
          <w:sz w:val="23"/>
          <w:szCs w:val="23"/>
        </w:rPr>
        <w:t>used in the provision of services and the gains are consumed through depreciation, or</w:t>
      </w:r>
    </w:p>
    <w:p w14:paraId="6329FE7B" w14:textId="77777777" w:rsidR="00386757" w:rsidRPr="00183434" w:rsidRDefault="00386757" w:rsidP="00183434">
      <w:pPr>
        <w:numPr>
          <w:ilvl w:val="0"/>
          <w:numId w:val="31"/>
        </w:numPr>
        <w:jc w:val="both"/>
        <w:rPr>
          <w:rFonts w:cs="Arial"/>
          <w:sz w:val="23"/>
          <w:szCs w:val="23"/>
        </w:rPr>
      </w:pPr>
      <w:r w:rsidRPr="00183434">
        <w:rPr>
          <w:rFonts w:cs="Arial"/>
          <w:sz w:val="23"/>
          <w:szCs w:val="23"/>
        </w:rPr>
        <w:t>disposed of and the gains are realised</w:t>
      </w:r>
    </w:p>
    <w:p w14:paraId="5D1499D6" w14:textId="77777777" w:rsidR="00386757" w:rsidRPr="00183434" w:rsidRDefault="00386757" w:rsidP="00183434">
      <w:pPr>
        <w:jc w:val="both"/>
        <w:rPr>
          <w:rFonts w:cs="Arial"/>
          <w:sz w:val="23"/>
          <w:szCs w:val="23"/>
        </w:rPr>
      </w:pPr>
    </w:p>
    <w:p w14:paraId="7A5E88D2" w14:textId="77777777" w:rsidR="00386757" w:rsidRPr="00183434" w:rsidRDefault="00386757" w:rsidP="00183434">
      <w:pPr>
        <w:ind w:left="720"/>
        <w:jc w:val="both"/>
        <w:rPr>
          <w:rFonts w:cs="Arial"/>
          <w:sz w:val="23"/>
          <w:szCs w:val="23"/>
        </w:rPr>
      </w:pPr>
      <w:r w:rsidRPr="00183434">
        <w:rPr>
          <w:rFonts w:cs="Arial"/>
          <w:sz w:val="23"/>
          <w:szCs w:val="23"/>
        </w:rPr>
        <w:t>The Reserve contains only revaluation gains accumulated since 1</w:t>
      </w:r>
      <w:r w:rsidRPr="00183434">
        <w:rPr>
          <w:rFonts w:cs="Arial"/>
          <w:sz w:val="23"/>
          <w:szCs w:val="23"/>
          <w:vertAlign w:val="superscript"/>
        </w:rPr>
        <w:t>st</w:t>
      </w:r>
      <w:r w:rsidRPr="00183434">
        <w:rPr>
          <w:rFonts w:cs="Arial"/>
          <w:sz w:val="23"/>
          <w:szCs w:val="23"/>
        </w:rPr>
        <w:t xml:space="preserve"> April 2007, the date that the Reserve was created. Accumulated gains arising before that date are consolidated into the balance on the Capital Adjustment Account.</w:t>
      </w:r>
    </w:p>
    <w:p w14:paraId="17B3D794" w14:textId="77777777" w:rsidR="00386757" w:rsidRDefault="00386757" w:rsidP="00183434">
      <w:pPr>
        <w:jc w:val="both"/>
        <w:rPr>
          <w:rFonts w:cs="Arial"/>
          <w:sz w:val="23"/>
          <w:szCs w:val="23"/>
        </w:rPr>
      </w:pPr>
    </w:p>
    <w:p w14:paraId="5A453E80" w14:textId="77777777" w:rsidR="00E6657E" w:rsidRDefault="00E6657E" w:rsidP="00183434">
      <w:pPr>
        <w:jc w:val="both"/>
        <w:rPr>
          <w:rFonts w:cs="Arial"/>
          <w:sz w:val="23"/>
          <w:szCs w:val="23"/>
        </w:rPr>
      </w:pPr>
    </w:p>
    <w:p w14:paraId="7C96DD28" w14:textId="77777777" w:rsidR="00E6657E" w:rsidRDefault="00E6657E" w:rsidP="00183434">
      <w:pPr>
        <w:jc w:val="both"/>
        <w:rPr>
          <w:rFonts w:cs="Arial"/>
          <w:sz w:val="23"/>
          <w:szCs w:val="23"/>
        </w:rPr>
      </w:pPr>
    </w:p>
    <w:p w14:paraId="57A23D03" w14:textId="77777777" w:rsidR="00E6657E" w:rsidRPr="00183434" w:rsidRDefault="00E6657E" w:rsidP="00183434">
      <w:pPr>
        <w:jc w:val="both"/>
        <w:rPr>
          <w:rFonts w:cs="Arial"/>
          <w:sz w:val="23"/>
          <w:szCs w:val="23"/>
        </w:rPr>
      </w:pPr>
    </w:p>
    <w:p w14:paraId="696202D5" w14:textId="77777777" w:rsidR="00386757" w:rsidRPr="00183434" w:rsidRDefault="00386757" w:rsidP="00183434">
      <w:pPr>
        <w:ind w:left="720"/>
        <w:jc w:val="both"/>
        <w:rPr>
          <w:rFonts w:cs="Arial"/>
          <w:sz w:val="23"/>
          <w:szCs w:val="23"/>
        </w:rPr>
      </w:pPr>
    </w:p>
    <w:p w14:paraId="0B23B30C" w14:textId="77777777" w:rsidR="00A36CD7" w:rsidRPr="00183434" w:rsidRDefault="00A36CD7" w:rsidP="00183434">
      <w:pPr>
        <w:ind w:left="720"/>
        <w:jc w:val="both"/>
        <w:rPr>
          <w:rFonts w:cs="Arial"/>
          <w:sz w:val="23"/>
          <w:szCs w:val="23"/>
        </w:rPr>
      </w:pPr>
    </w:p>
    <w:p w14:paraId="70139CD0" w14:textId="072F8D46" w:rsidR="00386757" w:rsidRPr="00183434" w:rsidRDefault="000B7D57" w:rsidP="00183434">
      <w:pPr>
        <w:pStyle w:val="BodyTextIndent2"/>
        <w:ind w:left="709"/>
        <w:jc w:val="both"/>
        <w:rPr>
          <w:rFonts w:cs="Arial"/>
          <w:sz w:val="23"/>
          <w:szCs w:val="23"/>
          <w:highlight w:val="cyan"/>
        </w:rPr>
      </w:pPr>
      <w:r w:rsidRPr="00183434">
        <w:rPr>
          <w:rFonts w:cs="Arial"/>
          <w:sz w:val="23"/>
          <w:szCs w:val="23"/>
        </w:rPr>
        <w:object w:dxaOrig="7133" w:dyaOrig="3754" w14:anchorId="25BAA6A4">
          <v:shape id="_x0000_i1097" type="#_x0000_t75" style="width:356.55pt;height:187.8pt" o:ole="">
            <v:imagedata r:id="rId161" o:title=""/>
          </v:shape>
          <o:OLEObject Type="Link" ProgID="Excel.Sheet.12" ShapeID="_x0000_i1097" DrawAspect="Content" r:id="rId162" UpdateMode="Always">
            <o:LinkType>EnhancedMetaFile</o:LinkType>
            <o:LockedField>false</o:LockedField>
            <o:FieldCodes>\* MERGEFORMAT</o:FieldCodes>
          </o:OLEObject>
        </w:object>
      </w:r>
    </w:p>
    <w:p w14:paraId="3B73C5EF" w14:textId="77777777" w:rsidR="00AE5495" w:rsidRPr="00183434" w:rsidRDefault="00AE5495" w:rsidP="00183434">
      <w:pPr>
        <w:jc w:val="both"/>
        <w:rPr>
          <w:rFonts w:cs="Arial"/>
          <w:b/>
          <w:sz w:val="23"/>
          <w:szCs w:val="23"/>
          <w:highlight w:val="cyan"/>
        </w:rPr>
      </w:pPr>
    </w:p>
    <w:p w14:paraId="637D2ABA" w14:textId="77777777" w:rsidR="000D4923" w:rsidRPr="00183434" w:rsidRDefault="000D4923" w:rsidP="00183434">
      <w:pPr>
        <w:jc w:val="both"/>
        <w:rPr>
          <w:rFonts w:cs="Arial"/>
          <w:b/>
          <w:sz w:val="23"/>
          <w:szCs w:val="23"/>
          <w:highlight w:val="cyan"/>
        </w:rPr>
      </w:pPr>
    </w:p>
    <w:p w14:paraId="53DD17A8" w14:textId="77777777" w:rsidR="000D4923" w:rsidRPr="00183434" w:rsidRDefault="000D4923" w:rsidP="00183434">
      <w:pPr>
        <w:jc w:val="both"/>
        <w:rPr>
          <w:rFonts w:cs="Arial"/>
          <w:b/>
          <w:sz w:val="23"/>
          <w:szCs w:val="23"/>
          <w:highlight w:val="cyan"/>
        </w:rPr>
      </w:pPr>
    </w:p>
    <w:p w14:paraId="63E16C0F" w14:textId="77777777" w:rsidR="00386757" w:rsidRPr="00183434" w:rsidRDefault="006D58A7" w:rsidP="00183434">
      <w:pPr>
        <w:jc w:val="both"/>
        <w:rPr>
          <w:rFonts w:cs="Arial"/>
          <w:b/>
          <w:sz w:val="23"/>
          <w:szCs w:val="23"/>
          <w:u w:val="single"/>
        </w:rPr>
      </w:pPr>
      <w:r w:rsidRPr="00183434">
        <w:rPr>
          <w:rFonts w:cs="Arial"/>
          <w:b/>
          <w:sz w:val="23"/>
          <w:szCs w:val="23"/>
        </w:rPr>
        <w:t>4</w:t>
      </w:r>
      <w:r w:rsidR="001B2752" w:rsidRPr="00183434">
        <w:rPr>
          <w:rFonts w:cs="Arial"/>
          <w:b/>
          <w:sz w:val="23"/>
          <w:szCs w:val="23"/>
        </w:rPr>
        <w:t>2</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CAPITAL ADJUSTMENT ACCOUNT</w:t>
      </w:r>
    </w:p>
    <w:p w14:paraId="59FB6818" w14:textId="77777777" w:rsidR="00386757" w:rsidRPr="00183434" w:rsidRDefault="00386757" w:rsidP="00183434">
      <w:pPr>
        <w:jc w:val="both"/>
        <w:rPr>
          <w:rFonts w:cs="Arial"/>
          <w:sz w:val="23"/>
          <w:szCs w:val="23"/>
        </w:rPr>
      </w:pPr>
    </w:p>
    <w:p w14:paraId="1CD54919" w14:textId="77777777" w:rsidR="00386757" w:rsidRPr="00183434" w:rsidRDefault="00386757" w:rsidP="00183434">
      <w:pPr>
        <w:ind w:left="720"/>
        <w:jc w:val="both"/>
        <w:rPr>
          <w:rFonts w:cs="Arial"/>
          <w:sz w:val="23"/>
          <w:szCs w:val="23"/>
        </w:rPr>
      </w:pPr>
      <w:r w:rsidRPr="00183434">
        <w:rPr>
          <w:rFonts w:cs="Arial"/>
          <w:sz w:val="23"/>
          <w:szCs w:val="23"/>
        </w:rPr>
        <w:t>The Capital Adjustment Account absorbs the timing differences arising from the different arrangements for accounting for the consumption of non-current assets and for financing the acquisition, construction or enhancement of those assets under statutory provisions. The Account is debited with the cost of acquisition, construction or enhancement as depreciation, impairment losses and amortisations are charged to the Comprehensive Income and Expenditure Statement. The Account is credited with the amounts set aside by the Authority as finance for the costs of acquisition, construction and enhancement.</w:t>
      </w:r>
    </w:p>
    <w:p w14:paraId="3D61F888" w14:textId="77777777" w:rsidR="00386757" w:rsidRPr="00183434" w:rsidRDefault="00386757" w:rsidP="00183434">
      <w:pPr>
        <w:ind w:left="720"/>
        <w:jc w:val="both"/>
        <w:rPr>
          <w:rFonts w:cs="Arial"/>
          <w:sz w:val="23"/>
          <w:szCs w:val="23"/>
        </w:rPr>
      </w:pPr>
    </w:p>
    <w:p w14:paraId="728858F0" w14:textId="77777777" w:rsidR="00386757" w:rsidRPr="00183434" w:rsidRDefault="00386757" w:rsidP="00183434">
      <w:pPr>
        <w:ind w:left="720"/>
        <w:jc w:val="both"/>
        <w:rPr>
          <w:rFonts w:cs="Arial"/>
          <w:sz w:val="23"/>
          <w:szCs w:val="23"/>
        </w:rPr>
      </w:pPr>
      <w:r w:rsidRPr="00183434">
        <w:rPr>
          <w:rFonts w:cs="Arial"/>
          <w:sz w:val="23"/>
          <w:szCs w:val="23"/>
        </w:rPr>
        <w:t xml:space="preserve">This Account contains accumulated gains and losses on Investment </w:t>
      </w:r>
      <w:r w:rsidR="00341396" w:rsidRPr="00183434">
        <w:rPr>
          <w:rFonts w:cs="Arial"/>
          <w:sz w:val="23"/>
          <w:szCs w:val="23"/>
        </w:rPr>
        <w:t>P</w:t>
      </w:r>
      <w:r w:rsidRPr="00183434">
        <w:rPr>
          <w:rFonts w:cs="Arial"/>
          <w:sz w:val="23"/>
          <w:szCs w:val="23"/>
        </w:rPr>
        <w:t>roperties and gains recognised on donated assets that have yet to be consumed by the Authority.</w:t>
      </w:r>
    </w:p>
    <w:p w14:paraId="73C8DFBA" w14:textId="77777777" w:rsidR="00386757" w:rsidRPr="00183434" w:rsidRDefault="00386757" w:rsidP="00183434">
      <w:pPr>
        <w:ind w:left="720"/>
        <w:jc w:val="both"/>
        <w:rPr>
          <w:rFonts w:cs="Arial"/>
          <w:sz w:val="23"/>
          <w:szCs w:val="23"/>
        </w:rPr>
      </w:pPr>
    </w:p>
    <w:p w14:paraId="7C3BDC2D" w14:textId="77777777" w:rsidR="00992E81" w:rsidRPr="00183434" w:rsidRDefault="00386757" w:rsidP="00183434">
      <w:pPr>
        <w:ind w:left="720"/>
        <w:jc w:val="both"/>
        <w:rPr>
          <w:rFonts w:cs="Arial"/>
          <w:sz w:val="23"/>
          <w:szCs w:val="23"/>
        </w:rPr>
      </w:pPr>
      <w:r w:rsidRPr="00183434">
        <w:rPr>
          <w:rFonts w:cs="Arial"/>
          <w:sz w:val="23"/>
          <w:szCs w:val="23"/>
        </w:rPr>
        <w:t>The Account also contains revaluation gains accumulated on Property, Plant and Equipment before 1</w:t>
      </w:r>
      <w:r w:rsidRPr="00183434">
        <w:rPr>
          <w:rFonts w:cs="Arial"/>
          <w:sz w:val="23"/>
          <w:szCs w:val="23"/>
          <w:vertAlign w:val="superscript"/>
        </w:rPr>
        <w:t>st</w:t>
      </w:r>
      <w:r w:rsidRPr="00183434">
        <w:rPr>
          <w:rFonts w:cs="Arial"/>
          <w:sz w:val="23"/>
          <w:szCs w:val="23"/>
        </w:rPr>
        <w:t xml:space="preserve"> April 2007, the date that the Revaluation Reserve was created to hold such gains.</w:t>
      </w:r>
    </w:p>
    <w:p w14:paraId="1F7AA30F" w14:textId="77777777" w:rsidR="00386757" w:rsidRPr="00183434" w:rsidRDefault="00386757" w:rsidP="00183434">
      <w:pPr>
        <w:pStyle w:val="BodyTextIndent2"/>
        <w:ind w:left="709"/>
        <w:jc w:val="both"/>
        <w:rPr>
          <w:rFonts w:cs="Arial"/>
          <w:sz w:val="23"/>
          <w:szCs w:val="23"/>
        </w:rPr>
      </w:pPr>
    </w:p>
    <w:p w14:paraId="3ECE41E7" w14:textId="77777777" w:rsidR="00AE5495" w:rsidRPr="00183434" w:rsidRDefault="00AE5495" w:rsidP="00183434">
      <w:pPr>
        <w:pStyle w:val="BodyTextIndent2"/>
        <w:ind w:left="709"/>
        <w:jc w:val="both"/>
        <w:rPr>
          <w:rFonts w:cs="Arial"/>
          <w:sz w:val="23"/>
          <w:szCs w:val="23"/>
        </w:rPr>
      </w:pPr>
    </w:p>
    <w:p w14:paraId="68E81DE2" w14:textId="63F80E42" w:rsidR="00CA5C87" w:rsidRPr="00183434" w:rsidRDefault="0064641E" w:rsidP="00183434">
      <w:pPr>
        <w:pStyle w:val="BodyTextIndent2"/>
        <w:ind w:left="709"/>
        <w:jc w:val="both"/>
        <w:rPr>
          <w:rFonts w:cs="Arial"/>
          <w:sz w:val="23"/>
          <w:szCs w:val="23"/>
        </w:rPr>
      </w:pPr>
      <w:r w:rsidRPr="00183434">
        <w:rPr>
          <w:rFonts w:cs="Arial"/>
          <w:sz w:val="23"/>
          <w:szCs w:val="23"/>
        </w:rPr>
        <w:object w:dxaOrig="8486" w:dyaOrig="6598" w14:anchorId="764F86EC">
          <v:shape id="_x0000_i1098" type="#_x0000_t75" style="width:424.5pt;height:330.05pt" o:ole="">
            <v:imagedata r:id="rId163" o:title=""/>
          </v:shape>
          <o:OLEObject Type="Link" ProgID="Excel.Sheet.12" ShapeID="_x0000_i1098" DrawAspect="Content" r:id="rId164" UpdateMode="Always">
            <o:LinkType>EnhancedMetaFile</o:LinkType>
            <o:LockedField>false</o:LockedField>
            <o:FieldCodes>\* MERGEFORMAT</o:FieldCodes>
          </o:OLEObject>
        </w:object>
      </w:r>
    </w:p>
    <w:p w14:paraId="4E70305F" w14:textId="77777777" w:rsidR="00CA5C87" w:rsidRPr="00183434" w:rsidRDefault="00CA5C87" w:rsidP="00183434">
      <w:pPr>
        <w:pStyle w:val="BodyTextIndent2"/>
        <w:ind w:left="709"/>
        <w:jc w:val="both"/>
        <w:rPr>
          <w:rFonts w:cs="Arial"/>
          <w:sz w:val="23"/>
          <w:szCs w:val="23"/>
          <w:highlight w:val="cyan"/>
        </w:rPr>
      </w:pPr>
    </w:p>
    <w:p w14:paraId="0EB01A45" w14:textId="77777777" w:rsidR="00386757" w:rsidRPr="00183434" w:rsidRDefault="00386757" w:rsidP="00183434">
      <w:pPr>
        <w:pStyle w:val="BodyTextIndent2"/>
        <w:ind w:left="0"/>
        <w:jc w:val="both"/>
        <w:rPr>
          <w:rFonts w:cs="Arial"/>
          <w:sz w:val="23"/>
          <w:szCs w:val="23"/>
        </w:rPr>
      </w:pPr>
      <w:r w:rsidRPr="00183434">
        <w:rPr>
          <w:rFonts w:cs="Arial"/>
          <w:b/>
          <w:sz w:val="23"/>
          <w:szCs w:val="23"/>
        </w:rPr>
        <w:t>4</w:t>
      </w:r>
      <w:r w:rsidR="001B2752" w:rsidRPr="00183434">
        <w:rPr>
          <w:rFonts w:cs="Arial"/>
          <w:b/>
          <w:sz w:val="23"/>
          <w:szCs w:val="23"/>
        </w:rPr>
        <w:t>3</w:t>
      </w:r>
      <w:r w:rsidRPr="00183434">
        <w:rPr>
          <w:rFonts w:cs="Arial"/>
          <w:sz w:val="23"/>
          <w:szCs w:val="23"/>
        </w:rPr>
        <w:t>.</w:t>
      </w:r>
      <w:r w:rsidRPr="00183434">
        <w:rPr>
          <w:rFonts w:cs="Arial"/>
          <w:sz w:val="23"/>
          <w:szCs w:val="23"/>
        </w:rPr>
        <w:tab/>
      </w:r>
      <w:r w:rsidRPr="00183434">
        <w:rPr>
          <w:rFonts w:cs="Arial"/>
          <w:b/>
          <w:sz w:val="23"/>
          <w:szCs w:val="23"/>
          <w:u w:val="single"/>
        </w:rPr>
        <w:t>PENSIONS RESERVE</w:t>
      </w:r>
    </w:p>
    <w:p w14:paraId="14EC737B" w14:textId="77777777" w:rsidR="00771E34" w:rsidRPr="00183434" w:rsidRDefault="00771E34" w:rsidP="00183434">
      <w:pPr>
        <w:pStyle w:val="BodyTextIndent2"/>
        <w:ind w:left="0"/>
        <w:jc w:val="both"/>
        <w:rPr>
          <w:rFonts w:cs="Arial"/>
          <w:sz w:val="23"/>
          <w:szCs w:val="23"/>
        </w:rPr>
      </w:pPr>
    </w:p>
    <w:p w14:paraId="4E16E1D1" w14:textId="77777777" w:rsidR="004B55A7" w:rsidRPr="00183434" w:rsidRDefault="00386757" w:rsidP="00183434">
      <w:pPr>
        <w:pStyle w:val="BodyTextIndent2"/>
        <w:ind w:left="709"/>
        <w:jc w:val="both"/>
        <w:rPr>
          <w:rFonts w:cs="Arial"/>
          <w:sz w:val="23"/>
          <w:szCs w:val="23"/>
        </w:rPr>
      </w:pPr>
      <w:r w:rsidRPr="00183434">
        <w:rPr>
          <w:rFonts w:cs="Arial"/>
          <w:sz w:val="23"/>
          <w:szCs w:val="23"/>
        </w:rPr>
        <w:t>The Pensions Reserve absorbs the timing differences arising from the different arrangements for accounting for post employment benefits and for funding benefits in accordance with statutory provisions. The Authority accounts for post 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Authority makes employers contributions to pension funds or pays any pensions for which it is directly responsible. The debit balance on the Pensions Reserve therefore shows a substantial shortfall in the benefits earned by past and current employees and the resources the Authority has set aside to meet them. The statutory arrangements will ensure that funding will have been set aside by the time the benefits come to be paid.</w:t>
      </w:r>
    </w:p>
    <w:p w14:paraId="2D6FA53B" w14:textId="77777777" w:rsidR="00CA5C87" w:rsidRPr="00183434" w:rsidRDefault="00CA5C87" w:rsidP="00183434">
      <w:pPr>
        <w:pStyle w:val="BodyTextIndent2"/>
        <w:ind w:left="0"/>
        <w:jc w:val="both"/>
        <w:rPr>
          <w:rFonts w:cs="Arial"/>
          <w:sz w:val="23"/>
          <w:szCs w:val="23"/>
        </w:rPr>
      </w:pPr>
    </w:p>
    <w:p w14:paraId="5D0EBC3E" w14:textId="464B766B" w:rsidR="00CA5C87" w:rsidRPr="00183434" w:rsidRDefault="002E06E1" w:rsidP="00183434">
      <w:pPr>
        <w:pStyle w:val="BodyTextIndent2"/>
        <w:ind w:left="0" w:firstLine="709"/>
        <w:jc w:val="both"/>
        <w:rPr>
          <w:rFonts w:cs="Arial"/>
          <w:sz w:val="23"/>
          <w:szCs w:val="23"/>
        </w:rPr>
      </w:pPr>
      <w:r w:rsidRPr="00183434">
        <w:rPr>
          <w:rFonts w:cs="Arial"/>
          <w:sz w:val="23"/>
          <w:szCs w:val="23"/>
        </w:rPr>
        <w:object w:dxaOrig="8317" w:dyaOrig="4252" w14:anchorId="2C2C6929">
          <v:shape id="_x0000_i1099" type="#_x0000_t75" style="width:416.45pt;height:212.55pt" o:ole="">
            <v:imagedata r:id="rId165" o:title=""/>
          </v:shape>
          <o:OLEObject Type="Link" ProgID="Excel.Sheet.12" ShapeID="_x0000_i1099" DrawAspect="Content" r:id="rId166" UpdateMode="Always">
            <o:LinkType>EnhancedMetaFile</o:LinkType>
            <o:LockedField>false</o:LockedField>
            <o:FieldCodes>\* MERGEFORMAT</o:FieldCodes>
          </o:OLEObject>
        </w:object>
      </w:r>
    </w:p>
    <w:p w14:paraId="27844F22" w14:textId="77777777" w:rsidR="00374AF5" w:rsidRPr="00183434" w:rsidRDefault="00374AF5" w:rsidP="00183434">
      <w:pPr>
        <w:pStyle w:val="BodyTextIndent2"/>
        <w:ind w:left="0"/>
        <w:jc w:val="both"/>
        <w:rPr>
          <w:rFonts w:cs="Arial"/>
          <w:sz w:val="23"/>
          <w:szCs w:val="23"/>
          <w:highlight w:val="cyan"/>
        </w:rPr>
      </w:pPr>
    </w:p>
    <w:p w14:paraId="19DC8E1E" w14:textId="77777777" w:rsidR="00386757" w:rsidRPr="00183434" w:rsidRDefault="00176F40" w:rsidP="00183434">
      <w:pPr>
        <w:pStyle w:val="BodyTextIndent2"/>
        <w:ind w:left="0"/>
        <w:jc w:val="both"/>
        <w:rPr>
          <w:rFonts w:cs="Arial"/>
          <w:sz w:val="23"/>
          <w:szCs w:val="23"/>
        </w:rPr>
      </w:pPr>
      <w:r w:rsidRPr="00183434">
        <w:rPr>
          <w:rFonts w:cs="Arial"/>
          <w:b/>
          <w:sz w:val="23"/>
          <w:szCs w:val="23"/>
        </w:rPr>
        <w:t>4</w:t>
      </w:r>
      <w:r w:rsidR="001B2752" w:rsidRPr="00183434">
        <w:rPr>
          <w:rFonts w:cs="Arial"/>
          <w:b/>
          <w:sz w:val="23"/>
          <w:szCs w:val="23"/>
        </w:rPr>
        <w:t>4</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DEFERRED CAPITAL RECEIPTS RESERVE</w:t>
      </w:r>
    </w:p>
    <w:p w14:paraId="3D44C24E" w14:textId="77777777" w:rsidR="00386757" w:rsidRPr="00183434" w:rsidRDefault="00386757" w:rsidP="00183434">
      <w:pPr>
        <w:pStyle w:val="BodyTextIndent2"/>
        <w:jc w:val="both"/>
        <w:rPr>
          <w:rFonts w:cs="Arial"/>
          <w:sz w:val="23"/>
          <w:szCs w:val="23"/>
        </w:rPr>
      </w:pPr>
    </w:p>
    <w:p w14:paraId="11DF0706" w14:textId="77777777" w:rsidR="00386757" w:rsidRPr="00183434" w:rsidRDefault="00386757" w:rsidP="00183434">
      <w:pPr>
        <w:pStyle w:val="BodyTextIndent2"/>
        <w:jc w:val="both"/>
        <w:rPr>
          <w:rFonts w:cs="Arial"/>
          <w:sz w:val="23"/>
          <w:szCs w:val="23"/>
        </w:rPr>
      </w:pPr>
      <w:r w:rsidRPr="00183434">
        <w:rPr>
          <w:rFonts w:cs="Arial"/>
          <w:sz w:val="23"/>
          <w:szCs w:val="23"/>
        </w:rPr>
        <w:t>The Deferred Capital Receipts Reserve holds the gains recognised on the disposal of non-current assets but for which cash settlement has yet to take place. Under statutory arrangements, the Authority does not treat these gains as usable for financing new capital expenditure until they are backed by cash receipts. When the deferred cash settlement eventually takes place, amounts are transferred to the Capital Receipts Reserve.</w:t>
      </w:r>
    </w:p>
    <w:p w14:paraId="341D3F1B" w14:textId="77777777" w:rsidR="00386757" w:rsidRPr="00183434" w:rsidRDefault="00386757" w:rsidP="00183434">
      <w:pPr>
        <w:pStyle w:val="BodyTextIndent2"/>
        <w:jc w:val="both"/>
        <w:rPr>
          <w:rFonts w:cs="Arial"/>
          <w:sz w:val="23"/>
          <w:szCs w:val="23"/>
        </w:rPr>
      </w:pPr>
    </w:p>
    <w:p w14:paraId="610AC50D" w14:textId="77777777" w:rsidR="00D5694C" w:rsidRPr="00183434" w:rsidRDefault="00386757" w:rsidP="00183434">
      <w:pPr>
        <w:pStyle w:val="BodyTextIndent2"/>
        <w:jc w:val="both"/>
        <w:rPr>
          <w:rFonts w:cs="Arial"/>
          <w:sz w:val="23"/>
          <w:szCs w:val="23"/>
        </w:rPr>
      </w:pPr>
      <w:r w:rsidRPr="00183434">
        <w:rPr>
          <w:rFonts w:cs="Arial"/>
          <w:sz w:val="23"/>
          <w:szCs w:val="23"/>
        </w:rPr>
        <w:t xml:space="preserve">The balance relates to debt outstanding on assets transferred from </w:t>
      </w:r>
      <w:proofErr w:type="gramStart"/>
      <w:r w:rsidRPr="00183434">
        <w:rPr>
          <w:rFonts w:cs="Arial"/>
          <w:sz w:val="23"/>
          <w:szCs w:val="23"/>
        </w:rPr>
        <w:t>North East</w:t>
      </w:r>
      <w:proofErr w:type="gramEnd"/>
      <w:r w:rsidRPr="00183434">
        <w:rPr>
          <w:rFonts w:cs="Arial"/>
          <w:sz w:val="23"/>
          <w:szCs w:val="23"/>
        </w:rPr>
        <w:t xml:space="preserve"> Derbyshire District Council in 1974 and 1988</w:t>
      </w:r>
      <w:r w:rsidR="00FC36F1" w:rsidRPr="00183434">
        <w:rPr>
          <w:rFonts w:cs="Arial"/>
          <w:sz w:val="23"/>
          <w:szCs w:val="23"/>
        </w:rPr>
        <w:t xml:space="preserve"> and the sale of land to Tilia Homes in 2023.</w:t>
      </w:r>
    </w:p>
    <w:p w14:paraId="7536602E" w14:textId="77777777" w:rsidR="00D36841" w:rsidRPr="00183434" w:rsidRDefault="00D36841" w:rsidP="00183434">
      <w:pPr>
        <w:pStyle w:val="BodyTextIndent2"/>
        <w:jc w:val="both"/>
        <w:rPr>
          <w:rFonts w:cs="Arial"/>
          <w:sz w:val="23"/>
          <w:szCs w:val="23"/>
        </w:rPr>
      </w:pPr>
    </w:p>
    <w:p w14:paraId="4214CA75" w14:textId="580AC55B" w:rsidR="00992E81" w:rsidRPr="00183434" w:rsidRDefault="000B7D57" w:rsidP="00183434">
      <w:pPr>
        <w:pStyle w:val="BodyTextIndent2"/>
        <w:ind w:left="709"/>
        <w:jc w:val="both"/>
        <w:rPr>
          <w:rFonts w:cs="Arial"/>
          <w:sz w:val="23"/>
          <w:szCs w:val="23"/>
        </w:rPr>
      </w:pPr>
      <w:r w:rsidRPr="00183434">
        <w:rPr>
          <w:rFonts w:cs="Arial"/>
          <w:sz w:val="23"/>
          <w:szCs w:val="23"/>
        </w:rPr>
        <w:object w:dxaOrig="8486" w:dyaOrig="2703" w14:anchorId="4CCF1460">
          <v:shape id="_x0000_i1100" type="#_x0000_t75" style="width:424.5pt;height:134.8pt" o:ole="">
            <v:imagedata r:id="rId167" o:title=""/>
          </v:shape>
          <o:OLEObject Type="Link" ProgID="Excel.Sheet.12" ShapeID="_x0000_i1100" DrawAspect="Content" r:id="rId168" UpdateMode="Always">
            <o:LinkType>EnhancedMetaFile</o:LinkType>
            <o:LockedField>false</o:LockedField>
            <o:FieldCodes>\* MERGEFORMAT</o:FieldCodes>
          </o:OLEObject>
        </w:object>
      </w:r>
    </w:p>
    <w:p w14:paraId="32A7CD30" w14:textId="77777777" w:rsidR="005E5D94" w:rsidRPr="00183434" w:rsidRDefault="005E5D94" w:rsidP="00183434">
      <w:pPr>
        <w:pStyle w:val="BodyTextIndent2"/>
        <w:ind w:left="0"/>
        <w:jc w:val="both"/>
        <w:rPr>
          <w:rFonts w:cs="Arial"/>
          <w:sz w:val="23"/>
          <w:szCs w:val="23"/>
          <w:highlight w:val="cyan"/>
        </w:rPr>
      </w:pPr>
    </w:p>
    <w:p w14:paraId="019F7D12" w14:textId="060B8E6F" w:rsidR="00E6657E" w:rsidRDefault="00E6657E">
      <w:pPr>
        <w:rPr>
          <w:rFonts w:cs="Arial"/>
          <w:sz w:val="23"/>
          <w:szCs w:val="23"/>
          <w:highlight w:val="cyan"/>
        </w:rPr>
      </w:pPr>
      <w:r>
        <w:rPr>
          <w:rFonts w:cs="Arial"/>
          <w:sz w:val="23"/>
          <w:szCs w:val="23"/>
          <w:highlight w:val="cyan"/>
        </w:rPr>
        <w:br w:type="page"/>
      </w:r>
    </w:p>
    <w:p w14:paraId="006E4817" w14:textId="77777777" w:rsidR="00386757" w:rsidRPr="00183434" w:rsidRDefault="00176F40" w:rsidP="00183434">
      <w:pPr>
        <w:pStyle w:val="BodyTextIndent2"/>
        <w:ind w:left="0"/>
        <w:jc w:val="both"/>
        <w:rPr>
          <w:rFonts w:cs="Arial"/>
          <w:sz w:val="23"/>
          <w:szCs w:val="23"/>
        </w:rPr>
      </w:pPr>
      <w:r w:rsidRPr="00183434">
        <w:rPr>
          <w:rFonts w:cs="Arial"/>
          <w:b/>
          <w:sz w:val="23"/>
          <w:szCs w:val="23"/>
        </w:rPr>
        <w:lastRenderedPageBreak/>
        <w:t>4</w:t>
      </w:r>
      <w:r w:rsidR="001B2752" w:rsidRPr="00183434">
        <w:rPr>
          <w:rFonts w:cs="Arial"/>
          <w:b/>
          <w:sz w:val="23"/>
          <w:szCs w:val="23"/>
        </w:rPr>
        <w:t>5</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COLLECTION FUND ADJUSTMENT ACCOUNT</w:t>
      </w:r>
    </w:p>
    <w:p w14:paraId="21D03CE6" w14:textId="77777777" w:rsidR="00386757" w:rsidRPr="00183434" w:rsidRDefault="00386757" w:rsidP="00183434">
      <w:pPr>
        <w:pStyle w:val="BodyTextIndent2"/>
        <w:ind w:left="0"/>
        <w:jc w:val="both"/>
        <w:rPr>
          <w:rFonts w:cs="Arial"/>
          <w:sz w:val="23"/>
          <w:szCs w:val="23"/>
        </w:rPr>
      </w:pPr>
    </w:p>
    <w:p w14:paraId="4CBD1347" w14:textId="77777777" w:rsidR="00386757" w:rsidRPr="00183434" w:rsidRDefault="00386757" w:rsidP="00183434">
      <w:pPr>
        <w:pStyle w:val="BodyTextIndent2"/>
        <w:jc w:val="both"/>
        <w:rPr>
          <w:rFonts w:cs="Arial"/>
          <w:sz w:val="23"/>
          <w:szCs w:val="23"/>
        </w:rPr>
      </w:pPr>
      <w:r w:rsidRPr="00183434">
        <w:rPr>
          <w:rFonts w:cs="Arial"/>
          <w:sz w:val="23"/>
          <w:szCs w:val="23"/>
        </w:rPr>
        <w:t>The Collection Fund Adjustment Account manages the differences arising from the recognition of council tax</w:t>
      </w:r>
      <w:r w:rsidR="00771E34" w:rsidRPr="00183434">
        <w:rPr>
          <w:rFonts w:cs="Arial"/>
          <w:sz w:val="23"/>
          <w:szCs w:val="23"/>
        </w:rPr>
        <w:t xml:space="preserve"> and </w:t>
      </w:r>
      <w:proofErr w:type="gramStart"/>
      <w:r w:rsidR="00771E34" w:rsidRPr="00183434">
        <w:rPr>
          <w:rFonts w:cs="Arial"/>
          <w:sz w:val="23"/>
          <w:szCs w:val="23"/>
        </w:rPr>
        <w:t>non domestic</w:t>
      </w:r>
      <w:proofErr w:type="gramEnd"/>
      <w:r w:rsidR="00771E34" w:rsidRPr="00183434">
        <w:rPr>
          <w:rFonts w:cs="Arial"/>
          <w:sz w:val="23"/>
          <w:szCs w:val="23"/>
        </w:rPr>
        <w:t xml:space="preserve"> rates</w:t>
      </w:r>
      <w:r w:rsidRPr="00183434">
        <w:rPr>
          <w:rFonts w:cs="Arial"/>
          <w:sz w:val="23"/>
          <w:szCs w:val="23"/>
        </w:rPr>
        <w:t xml:space="preserve"> income in the Comprehensive Income and Expenditure Statement as it falls due from council tax </w:t>
      </w:r>
      <w:r w:rsidR="00771E34" w:rsidRPr="00183434">
        <w:rPr>
          <w:rFonts w:cs="Arial"/>
          <w:sz w:val="23"/>
          <w:szCs w:val="23"/>
        </w:rPr>
        <w:t xml:space="preserve">and business rate </w:t>
      </w:r>
      <w:r w:rsidRPr="00183434">
        <w:rPr>
          <w:rFonts w:cs="Arial"/>
          <w:sz w:val="23"/>
          <w:szCs w:val="23"/>
        </w:rPr>
        <w:t>payers compared with the statutory arrangements for paying across amounts to the General Fund from the Collection Fund.</w:t>
      </w:r>
    </w:p>
    <w:p w14:paraId="0C997A54" w14:textId="77777777" w:rsidR="004B55A7" w:rsidRPr="00183434" w:rsidRDefault="004B55A7" w:rsidP="00183434">
      <w:pPr>
        <w:pStyle w:val="BodyTextIndent2"/>
        <w:jc w:val="both"/>
        <w:rPr>
          <w:rFonts w:cs="Arial"/>
          <w:sz w:val="23"/>
          <w:szCs w:val="23"/>
        </w:rPr>
      </w:pPr>
    </w:p>
    <w:p w14:paraId="76F6971E" w14:textId="799EF531" w:rsidR="00043C2D" w:rsidRPr="00183434" w:rsidRDefault="002E06E1" w:rsidP="00183434">
      <w:pPr>
        <w:pStyle w:val="BodyTextIndent2"/>
        <w:jc w:val="both"/>
        <w:rPr>
          <w:rFonts w:cs="Arial"/>
          <w:sz w:val="23"/>
          <w:szCs w:val="23"/>
        </w:rPr>
      </w:pPr>
      <w:r w:rsidRPr="00183434">
        <w:rPr>
          <w:rFonts w:cs="Arial"/>
          <w:sz w:val="23"/>
          <w:szCs w:val="23"/>
        </w:rPr>
        <w:object w:dxaOrig="8486" w:dyaOrig="2972" w14:anchorId="5BBA05F6">
          <v:shape id="_x0000_i1101" type="#_x0000_t75" style="width:461.4pt;height:129.6pt" o:ole="">
            <v:imagedata r:id="rId169" o:title=""/>
          </v:shape>
          <o:OLEObject Type="Link" ProgID="Excel.Sheet.12" ShapeID="_x0000_i1101" DrawAspect="Content" r:id="rId170" UpdateMode="Always">
            <o:LinkType>EnhancedMetaFile</o:LinkType>
            <o:LockedField>false</o:LockedField>
            <o:FieldCodes>\* MERGEFORMAT</o:FieldCodes>
          </o:OLEObject>
        </w:object>
      </w:r>
    </w:p>
    <w:p w14:paraId="6D105959" w14:textId="77777777" w:rsidR="000605F8" w:rsidRPr="00183434" w:rsidRDefault="000605F8" w:rsidP="00183434">
      <w:pPr>
        <w:pStyle w:val="BodyTextIndent2"/>
        <w:jc w:val="both"/>
        <w:rPr>
          <w:rFonts w:cs="Arial"/>
          <w:sz w:val="23"/>
          <w:szCs w:val="23"/>
          <w:highlight w:val="cyan"/>
        </w:rPr>
      </w:pPr>
    </w:p>
    <w:p w14:paraId="2E78A454" w14:textId="77777777" w:rsidR="00386757" w:rsidRPr="00183434" w:rsidRDefault="00176F40" w:rsidP="00183434">
      <w:pPr>
        <w:jc w:val="both"/>
        <w:rPr>
          <w:rFonts w:cs="Arial"/>
          <w:b/>
          <w:sz w:val="23"/>
          <w:szCs w:val="23"/>
          <w:u w:val="single"/>
        </w:rPr>
      </w:pPr>
      <w:r w:rsidRPr="00183434">
        <w:rPr>
          <w:rFonts w:cs="Arial"/>
          <w:b/>
          <w:sz w:val="23"/>
          <w:szCs w:val="23"/>
        </w:rPr>
        <w:t>4</w:t>
      </w:r>
      <w:r w:rsidR="001B2752" w:rsidRPr="00183434">
        <w:rPr>
          <w:rFonts w:cs="Arial"/>
          <w:b/>
          <w:sz w:val="23"/>
          <w:szCs w:val="23"/>
        </w:rPr>
        <w:t>6</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ACCUMULATED ABSENCES ACCOUNT</w:t>
      </w:r>
    </w:p>
    <w:p w14:paraId="65450195" w14:textId="77777777" w:rsidR="00386757" w:rsidRPr="00183434" w:rsidRDefault="00386757" w:rsidP="00183434">
      <w:pPr>
        <w:jc w:val="both"/>
        <w:rPr>
          <w:rFonts w:cs="Arial"/>
          <w:b/>
          <w:sz w:val="23"/>
          <w:szCs w:val="23"/>
          <w:u w:val="single"/>
        </w:rPr>
      </w:pPr>
    </w:p>
    <w:p w14:paraId="235A8D84" w14:textId="14386EC2" w:rsidR="00386757" w:rsidRPr="00183434" w:rsidRDefault="00386757" w:rsidP="00183434">
      <w:pPr>
        <w:ind w:left="720"/>
        <w:jc w:val="both"/>
        <w:rPr>
          <w:rFonts w:cs="Arial"/>
          <w:sz w:val="23"/>
          <w:szCs w:val="23"/>
        </w:rPr>
      </w:pPr>
      <w:r w:rsidRPr="00183434">
        <w:rPr>
          <w:rFonts w:cs="Arial"/>
          <w:sz w:val="23"/>
          <w:szCs w:val="23"/>
        </w:rPr>
        <w:t>The Accumulated Absences Account absorbs the differences that would otherwise arise on the General Fund B</w:t>
      </w:r>
      <w:r w:rsidR="00771E34" w:rsidRPr="00183434">
        <w:rPr>
          <w:rFonts w:cs="Arial"/>
          <w:sz w:val="23"/>
          <w:szCs w:val="23"/>
        </w:rPr>
        <w:t>alance from accruing for paid</w:t>
      </w:r>
      <w:r w:rsidRPr="00183434">
        <w:rPr>
          <w:rFonts w:cs="Arial"/>
          <w:sz w:val="23"/>
          <w:szCs w:val="23"/>
        </w:rPr>
        <w:t xml:space="preserve"> absences earned but not taken in the year, e.g. annual leave entitlement carried forward </w:t>
      </w:r>
      <w:proofErr w:type="gramStart"/>
      <w:r w:rsidRPr="00183434">
        <w:rPr>
          <w:rFonts w:cs="Arial"/>
          <w:sz w:val="23"/>
          <w:szCs w:val="23"/>
        </w:rPr>
        <w:t>at</w:t>
      </w:r>
      <w:proofErr w:type="gramEnd"/>
      <w:r w:rsidRPr="00183434">
        <w:rPr>
          <w:rFonts w:cs="Arial"/>
          <w:sz w:val="23"/>
          <w:szCs w:val="23"/>
        </w:rPr>
        <w:t xml:space="preserve"> 31</w:t>
      </w:r>
      <w:r w:rsidRPr="00183434">
        <w:rPr>
          <w:rFonts w:cs="Arial"/>
          <w:sz w:val="23"/>
          <w:szCs w:val="23"/>
          <w:vertAlign w:val="superscript"/>
        </w:rPr>
        <w:t>st</w:t>
      </w:r>
      <w:r w:rsidRPr="00183434">
        <w:rPr>
          <w:rFonts w:cs="Arial"/>
          <w:sz w:val="23"/>
          <w:szCs w:val="23"/>
        </w:rPr>
        <w:t xml:space="preserve"> March</w:t>
      </w:r>
      <w:r w:rsidR="009B127F" w:rsidRPr="00183434">
        <w:rPr>
          <w:rFonts w:cs="Arial"/>
          <w:sz w:val="23"/>
          <w:szCs w:val="23"/>
        </w:rPr>
        <w:t xml:space="preserve"> 202</w:t>
      </w:r>
      <w:r w:rsidR="00244FC9" w:rsidRPr="00183434">
        <w:rPr>
          <w:rFonts w:cs="Arial"/>
          <w:sz w:val="23"/>
          <w:szCs w:val="23"/>
        </w:rPr>
        <w:t>6</w:t>
      </w:r>
      <w:r w:rsidRPr="00183434">
        <w:rPr>
          <w:rFonts w:cs="Arial"/>
          <w:sz w:val="23"/>
          <w:szCs w:val="23"/>
        </w:rPr>
        <w:t>. Statutory arrangements require that the impact on the General Fund Balance is neutralised by transfers to or from the Account.</w:t>
      </w:r>
    </w:p>
    <w:p w14:paraId="63F3D95E" w14:textId="77777777" w:rsidR="00771E34" w:rsidRPr="00183434" w:rsidRDefault="00771E34" w:rsidP="00183434">
      <w:pPr>
        <w:ind w:left="720"/>
        <w:jc w:val="both"/>
        <w:rPr>
          <w:rFonts w:cs="Arial"/>
          <w:sz w:val="23"/>
          <w:szCs w:val="23"/>
        </w:rPr>
      </w:pPr>
    </w:p>
    <w:p w14:paraId="1CE6D1E1" w14:textId="393A7089" w:rsidR="00386757" w:rsidRPr="00183434" w:rsidRDefault="002E06E1" w:rsidP="00183434">
      <w:pPr>
        <w:ind w:left="709"/>
        <w:jc w:val="both"/>
        <w:rPr>
          <w:rFonts w:cs="Arial"/>
          <w:sz w:val="23"/>
          <w:szCs w:val="23"/>
        </w:rPr>
      </w:pPr>
      <w:r w:rsidRPr="00183434">
        <w:rPr>
          <w:rFonts w:cs="Arial"/>
          <w:sz w:val="23"/>
          <w:szCs w:val="23"/>
        </w:rPr>
        <w:object w:dxaOrig="8486" w:dyaOrig="2703" w14:anchorId="73D4CE09">
          <v:shape id="_x0000_i1102" type="#_x0000_t75" style="width:448.7pt;height:125.55pt" o:ole="">
            <v:imagedata r:id="rId171" o:title=""/>
          </v:shape>
          <o:OLEObject Type="Link" ProgID="Excel.Sheet.12" ShapeID="_x0000_i1102" DrawAspect="Content" r:id="rId172" UpdateMode="Always">
            <o:LinkType>EnhancedMetaFile</o:LinkType>
            <o:LockedField>false</o:LockedField>
            <o:FieldCodes>\* MERGEFORMAT</o:FieldCodes>
          </o:OLEObject>
        </w:object>
      </w:r>
    </w:p>
    <w:p w14:paraId="5E0E5956" w14:textId="77777777" w:rsidR="00992E81" w:rsidRPr="00183434" w:rsidRDefault="00992E81" w:rsidP="00183434">
      <w:pPr>
        <w:jc w:val="both"/>
        <w:rPr>
          <w:rFonts w:cs="Arial"/>
          <w:sz w:val="23"/>
          <w:szCs w:val="23"/>
          <w:highlight w:val="cyan"/>
        </w:rPr>
      </w:pPr>
    </w:p>
    <w:p w14:paraId="678625B6" w14:textId="77777777" w:rsidR="00AE5495" w:rsidRPr="00183434" w:rsidRDefault="00AE5495" w:rsidP="00183434">
      <w:pPr>
        <w:tabs>
          <w:tab w:val="num" w:pos="1800"/>
        </w:tabs>
        <w:jc w:val="both"/>
        <w:rPr>
          <w:rFonts w:cs="Arial"/>
          <w:sz w:val="23"/>
          <w:szCs w:val="23"/>
          <w:highlight w:val="cyan"/>
          <w:u w:val="single"/>
        </w:rPr>
      </w:pPr>
    </w:p>
    <w:p w14:paraId="20619F6B" w14:textId="30808A77" w:rsidR="00386757" w:rsidRPr="00183434" w:rsidRDefault="00176F40" w:rsidP="00E6657E">
      <w:pPr>
        <w:ind w:left="709" w:hanging="709"/>
        <w:jc w:val="both"/>
        <w:rPr>
          <w:rFonts w:cs="Arial"/>
          <w:b/>
          <w:sz w:val="23"/>
          <w:szCs w:val="23"/>
          <w:u w:val="single"/>
        </w:rPr>
      </w:pPr>
      <w:r w:rsidRPr="00183434">
        <w:rPr>
          <w:rFonts w:cs="Arial"/>
          <w:b/>
          <w:sz w:val="23"/>
          <w:szCs w:val="23"/>
        </w:rPr>
        <w:t>4</w:t>
      </w:r>
      <w:r w:rsidR="001B2752" w:rsidRPr="00183434">
        <w:rPr>
          <w:rFonts w:cs="Arial"/>
          <w:b/>
          <w:sz w:val="23"/>
          <w:szCs w:val="23"/>
        </w:rPr>
        <w:t>7</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CASHFLOW STATEMENT - ADJUST NET SURPLUS/DEFICIT ON THE PROVISION OF SERVICES FOR NON-CASH ADJUSTMENTS</w:t>
      </w:r>
    </w:p>
    <w:p w14:paraId="5C2D9FB7" w14:textId="77777777" w:rsidR="007A2969" w:rsidRPr="00183434" w:rsidRDefault="007A2969" w:rsidP="00183434">
      <w:pPr>
        <w:ind w:left="720" w:hanging="720"/>
        <w:jc w:val="both"/>
        <w:rPr>
          <w:rFonts w:cs="Arial"/>
          <w:b/>
          <w:sz w:val="23"/>
          <w:szCs w:val="23"/>
          <w:u w:val="single"/>
        </w:rPr>
      </w:pPr>
    </w:p>
    <w:p w14:paraId="5D551322" w14:textId="30420FC6" w:rsidR="0004672D" w:rsidRPr="00183434" w:rsidRDefault="00462B6D" w:rsidP="00183434">
      <w:pPr>
        <w:ind w:left="720"/>
        <w:jc w:val="both"/>
        <w:rPr>
          <w:rFonts w:cs="Arial"/>
          <w:sz w:val="23"/>
          <w:szCs w:val="23"/>
        </w:rPr>
      </w:pPr>
      <w:r w:rsidRPr="00183434">
        <w:rPr>
          <w:rFonts w:cs="Arial"/>
          <w:sz w:val="23"/>
          <w:szCs w:val="23"/>
        </w:rPr>
        <w:object w:dxaOrig="9686" w:dyaOrig="3120" w14:anchorId="0B9C68D3">
          <v:shape id="_x0000_i1103" type="#_x0000_t75" style="width:426.8pt;height:137.1pt" o:ole="">
            <v:imagedata r:id="rId173" o:title=""/>
          </v:shape>
          <o:OLEObject Type="Link" ProgID="Excel.Sheet.12" ShapeID="_x0000_i1103" DrawAspect="Content" r:id="rId174" UpdateMode="Always">
            <o:LinkType>EnhancedMetaFile</o:LinkType>
            <o:LockedField>false</o:LockedField>
            <o:FieldCodes>\* MERGEFORMAT</o:FieldCodes>
          </o:OLEObject>
        </w:object>
      </w:r>
    </w:p>
    <w:p w14:paraId="23CBEF85" w14:textId="589D5C6C" w:rsidR="00386757" w:rsidRPr="00183434" w:rsidRDefault="00386757" w:rsidP="00183434">
      <w:pPr>
        <w:ind w:left="720" w:hanging="11"/>
        <w:jc w:val="both"/>
        <w:rPr>
          <w:rFonts w:cs="Arial"/>
          <w:sz w:val="23"/>
          <w:szCs w:val="23"/>
        </w:rPr>
      </w:pPr>
    </w:p>
    <w:p w14:paraId="4EC184C3" w14:textId="77777777" w:rsidR="00C7580B" w:rsidRPr="00183434" w:rsidRDefault="00C7580B" w:rsidP="00183434">
      <w:pPr>
        <w:ind w:left="720" w:hanging="720"/>
        <w:jc w:val="both"/>
        <w:rPr>
          <w:rFonts w:cs="Arial"/>
          <w:sz w:val="23"/>
          <w:szCs w:val="23"/>
          <w:highlight w:val="cyan"/>
        </w:rPr>
      </w:pPr>
    </w:p>
    <w:p w14:paraId="710F1DFB" w14:textId="77777777" w:rsidR="00386757" w:rsidRPr="00183434" w:rsidRDefault="00176F40" w:rsidP="00183434">
      <w:pPr>
        <w:ind w:left="720" w:hanging="720"/>
        <w:jc w:val="both"/>
        <w:rPr>
          <w:rFonts w:cs="Arial"/>
          <w:b/>
          <w:sz w:val="23"/>
          <w:szCs w:val="23"/>
          <w:u w:val="single"/>
        </w:rPr>
      </w:pPr>
      <w:r w:rsidRPr="00183434">
        <w:rPr>
          <w:rFonts w:cs="Arial"/>
          <w:b/>
          <w:sz w:val="23"/>
          <w:szCs w:val="23"/>
        </w:rPr>
        <w:lastRenderedPageBreak/>
        <w:t>4</w:t>
      </w:r>
      <w:r w:rsidR="001B2752" w:rsidRPr="00183434">
        <w:rPr>
          <w:rFonts w:cs="Arial"/>
          <w:b/>
          <w:sz w:val="23"/>
          <w:szCs w:val="23"/>
        </w:rPr>
        <w:t>8</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CASHFLOW STATEMENT - ADJUST FOR ITEMS IN NET SURPLUS/DEFICIT ON PROVISION OF SERVICES THAT ARE INVESTING &amp; FINANCING ACTIVITIES</w:t>
      </w:r>
    </w:p>
    <w:p w14:paraId="6BFE0AA9" w14:textId="77777777" w:rsidR="00043C2D" w:rsidRPr="00183434" w:rsidRDefault="00043C2D" w:rsidP="00183434">
      <w:pPr>
        <w:ind w:left="709"/>
        <w:jc w:val="both"/>
        <w:rPr>
          <w:rFonts w:cs="Arial"/>
          <w:b/>
          <w:sz w:val="23"/>
          <w:szCs w:val="23"/>
        </w:rPr>
      </w:pPr>
    </w:p>
    <w:p w14:paraId="0BEBE591" w14:textId="373FE5DC" w:rsidR="00386757" w:rsidRPr="00183434" w:rsidRDefault="000B7D57" w:rsidP="00183434">
      <w:pPr>
        <w:ind w:left="709"/>
        <w:jc w:val="both"/>
        <w:rPr>
          <w:rFonts w:cs="Arial"/>
          <w:b/>
          <w:sz w:val="23"/>
          <w:szCs w:val="23"/>
        </w:rPr>
      </w:pPr>
      <w:r w:rsidRPr="00183434">
        <w:rPr>
          <w:rFonts w:cs="Arial"/>
          <w:b/>
          <w:sz w:val="23"/>
          <w:szCs w:val="23"/>
        </w:rPr>
        <w:object w:dxaOrig="8486" w:dyaOrig="2763" w14:anchorId="05A1B3F0">
          <v:shape id="_x0000_i1104" type="#_x0000_t75" style="width:424.5pt;height:138.25pt" o:ole="">
            <v:imagedata r:id="rId175" o:title=""/>
          </v:shape>
          <o:OLEObject Type="Link" ProgID="Excel.Sheet.12" ShapeID="_x0000_i1104" DrawAspect="Content" r:id="rId176" UpdateMode="Always">
            <o:LinkType>EnhancedMetaFile</o:LinkType>
            <o:LockedField>false</o:LockedField>
            <o:FieldCodes>\* MERGEFORMAT</o:FieldCodes>
          </o:OLEObject>
        </w:object>
      </w:r>
    </w:p>
    <w:p w14:paraId="73D29C00" w14:textId="77777777" w:rsidR="003D60FC" w:rsidRPr="00183434" w:rsidRDefault="003D60FC" w:rsidP="00183434">
      <w:pPr>
        <w:jc w:val="both"/>
        <w:rPr>
          <w:rFonts w:cs="Arial"/>
          <w:b/>
          <w:sz w:val="23"/>
          <w:szCs w:val="23"/>
          <w:highlight w:val="cyan"/>
        </w:rPr>
      </w:pPr>
    </w:p>
    <w:p w14:paraId="71B7B245" w14:textId="77777777" w:rsidR="00637C2F" w:rsidRPr="00183434" w:rsidRDefault="00637C2F" w:rsidP="00183434">
      <w:pPr>
        <w:jc w:val="both"/>
        <w:rPr>
          <w:rFonts w:cs="Arial"/>
          <w:b/>
          <w:sz w:val="23"/>
          <w:szCs w:val="23"/>
          <w:highlight w:val="cyan"/>
        </w:rPr>
      </w:pPr>
    </w:p>
    <w:p w14:paraId="2F3EEE17" w14:textId="77777777" w:rsidR="00386757" w:rsidRPr="00183434" w:rsidRDefault="001B2752" w:rsidP="00183434">
      <w:pPr>
        <w:ind w:left="720" w:hanging="720"/>
        <w:jc w:val="both"/>
        <w:rPr>
          <w:rFonts w:cs="Arial"/>
          <w:b/>
          <w:sz w:val="23"/>
          <w:szCs w:val="23"/>
        </w:rPr>
      </w:pPr>
      <w:r w:rsidRPr="00183434">
        <w:rPr>
          <w:rFonts w:cs="Arial"/>
          <w:b/>
          <w:sz w:val="23"/>
          <w:szCs w:val="23"/>
        </w:rPr>
        <w:t>49</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CASH FLOW STATEMENT – OPERATING ACTIVITIES</w:t>
      </w:r>
    </w:p>
    <w:p w14:paraId="1C40A6EC" w14:textId="77777777" w:rsidR="006A41E0" w:rsidRPr="00183434" w:rsidRDefault="00386757" w:rsidP="00183434">
      <w:pPr>
        <w:jc w:val="both"/>
        <w:rPr>
          <w:rFonts w:cs="Arial"/>
          <w:sz w:val="23"/>
          <w:szCs w:val="23"/>
        </w:rPr>
      </w:pPr>
      <w:r w:rsidRPr="00183434">
        <w:rPr>
          <w:rFonts w:cs="Arial"/>
          <w:sz w:val="23"/>
          <w:szCs w:val="23"/>
        </w:rPr>
        <w:tab/>
      </w:r>
      <w:r w:rsidRPr="00183434">
        <w:rPr>
          <w:rFonts w:cs="Arial"/>
          <w:sz w:val="23"/>
          <w:szCs w:val="23"/>
        </w:rPr>
        <w:tab/>
      </w:r>
    </w:p>
    <w:p w14:paraId="775078E8" w14:textId="77777777" w:rsidR="00386757" w:rsidRPr="00183434" w:rsidRDefault="00386757" w:rsidP="00183434">
      <w:pPr>
        <w:jc w:val="both"/>
        <w:rPr>
          <w:rFonts w:cs="Arial"/>
          <w:sz w:val="23"/>
          <w:szCs w:val="23"/>
        </w:rPr>
      </w:pPr>
      <w:r w:rsidRPr="00183434">
        <w:rPr>
          <w:rFonts w:cs="Arial"/>
          <w:b/>
          <w:sz w:val="23"/>
          <w:szCs w:val="23"/>
        </w:rPr>
        <w:tab/>
      </w:r>
      <w:r w:rsidRPr="00183434">
        <w:rPr>
          <w:rFonts w:cs="Arial"/>
          <w:sz w:val="23"/>
          <w:szCs w:val="23"/>
        </w:rPr>
        <w:t>The cash flows for operating activities include the following items:</w:t>
      </w:r>
    </w:p>
    <w:p w14:paraId="61E59D13" w14:textId="77777777" w:rsidR="00AE5495" w:rsidRPr="00183434" w:rsidRDefault="00AE5495" w:rsidP="00183434">
      <w:pPr>
        <w:ind w:left="709"/>
        <w:jc w:val="both"/>
        <w:rPr>
          <w:rFonts w:cs="Arial"/>
          <w:sz w:val="23"/>
          <w:szCs w:val="23"/>
        </w:rPr>
      </w:pPr>
    </w:p>
    <w:p w14:paraId="40C7BD3D" w14:textId="3555D553" w:rsidR="00AE5495" w:rsidRPr="00183434" w:rsidRDefault="00462B6D" w:rsidP="00183434">
      <w:pPr>
        <w:ind w:left="709"/>
        <w:jc w:val="both"/>
        <w:rPr>
          <w:rFonts w:cs="Arial"/>
          <w:sz w:val="23"/>
          <w:szCs w:val="23"/>
        </w:rPr>
      </w:pPr>
      <w:r w:rsidRPr="00183434">
        <w:rPr>
          <w:rFonts w:cs="Arial"/>
          <w:sz w:val="23"/>
          <w:szCs w:val="23"/>
        </w:rPr>
        <w:object w:dxaOrig="8486" w:dyaOrig="2177" w14:anchorId="59BA22D5">
          <v:shape id="_x0000_i1105" type="#_x0000_t75" style="width:426.25pt;height:106.55pt" o:ole="">
            <v:imagedata r:id="rId177" o:title=""/>
          </v:shape>
          <o:OLEObject Type="Link" ProgID="Excel.Sheet.12" ShapeID="_x0000_i1105" DrawAspect="Content" r:id="rId178" UpdateMode="Always">
            <o:LinkType>EnhancedMetaFile</o:LinkType>
            <o:LockedField>false</o:LockedField>
            <o:FieldCodes>\* MERGEFORMAT</o:FieldCodes>
          </o:OLEObject>
        </w:object>
      </w:r>
    </w:p>
    <w:p w14:paraId="6A1C2FA3" w14:textId="4E4CB44C" w:rsidR="009B127F" w:rsidRPr="00183434" w:rsidRDefault="009B127F" w:rsidP="00183434">
      <w:pPr>
        <w:jc w:val="both"/>
        <w:rPr>
          <w:rFonts w:cs="Arial"/>
          <w:b/>
          <w:sz w:val="23"/>
          <w:szCs w:val="23"/>
          <w:highlight w:val="cyan"/>
        </w:rPr>
      </w:pPr>
    </w:p>
    <w:p w14:paraId="49B3B71C" w14:textId="4168BCB4" w:rsidR="00386757" w:rsidRPr="00183434" w:rsidRDefault="00386757" w:rsidP="00183434">
      <w:pPr>
        <w:jc w:val="both"/>
        <w:rPr>
          <w:rFonts w:cs="Arial"/>
          <w:b/>
          <w:sz w:val="23"/>
          <w:szCs w:val="23"/>
          <w:u w:val="single"/>
        </w:rPr>
      </w:pPr>
      <w:r w:rsidRPr="00183434">
        <w:rPr>
          <w:rFonts w:cs="Arial"/>
          <w:b/>
          <w:sz w:val="23"/>
          <w:szCs w:val="23"/>
        </w:rPr>
        <w:t>5</w:t>
      </w:r>
      <w:r w:rsidR="001B2752" w:rsidRPr="00183434">
        <w:rPr>
          <w:rFonts w:cs="Arial"/>
          <w:b/>
          <w:sz w:val="23"/>
          <w:szCs w:val="23"/>
        </w:rPr>
        <w:t>0</w:t>
      </w:r>
      <w:r w:rsidRPr="00183434">
        <w:rPr>
          <w:rFonts w:cs="Arial"/>
          <w:sz w:val="23"/>
          <w:szCs w:val="23"/>
        </w:rPr>
        <w:t xml:space="preserve">.      </w:t>
      </w:r>
      <w:r w:rsidRPr="00183434">
        <w:rPr>
          <w:rFonts w:cs="Arial"/>
          <w:b/>
          <w:sz w:val="23"/>
          <w:szCs w:val="23"/>
          <w:u w:val="single"/>
        </w:rPr>
        <w:t>CASH FLOW STATEMENT – INVESTING ACTIVITIES</w:t>
      </w:r>
    </w:p>
    <w:p w14:paraId="0E8480DF" w14:textId="77777777" w:rsidR="005E39D9" w:rsidRPr="00183434" w:rsidRDefault="005E39D9" w:rsidP="00183434">
      <w:pPr>
        <w:jc w:val="both"/>
        <w:rPr>
          <w:rFonts w:cs="Arial"/>
          <w:b/>
          <w:sz w:val="23"/>
          <w:szCs w:val="23"/>
          <w:highlight w:val="cyan"/>
          <w:u w:val="single"/>
        </w:rPr>
      </w:pPr>
    </w:p>
    <w:p w14:paraId="0C509A5F" w14:textId="77777777" w:rsidR="00386757" w:rsidRPr="00183434" w:rsidRDefault="00386757" w:rsidP="00183434">
      <w:pPr>
        <w:jc w:val="both"/>
        <w:rPr>
          <w:rFonts w:cs="Arial"/>
          <w:sz w:val="23"/>
          <w:szCs w:val="23"/>
        </w:rPr>
      </w:pPr>
      <w:r w:rsidRPr="00183434">
        <w:rPr>
          <w:rFonts w:cs="Arial"/>
          <w:sz w:val="23"/>
          <w:szCs w:val="23"/>
        </w:rPr>
        <w:tab/>
      </w:r>
    </w:p>
    <w:p w14:paraId="0B3EDA33" w14:textId="4D69D810" w:rsidR="00786EC9" w:rsidRPr="00183434" w:rsidRDefault="00786EC9" w:rsidP="00183434">
      <w:pPr>
        <w:jc w:val="both"/>
        <w:rPr>
          <w:rFonts w:cs="Arial"/>
          <w:sz w:val="23"/>
          <w:szCs w:val="23"/>
        </w:rPr>
      </w:pPr>
      <w:r w:rsidRPr="00183434">
        <w:rPr>
          <w:rFonts w:cs="Arial"/>
          <w:sz w:val="23"/>
          <w:szCs w:val="23"/>
        </w:rPr>
        <w:t xml:space="preserve">            </w:t>
      </w:r>
      <w:r w:rsidR="000B7D57" w:rsidRPr="00183434">
        <w:rPr>
          <w:rFonts w:cs="Arial"/>
          <w:sz w:val="23"/>
          <w:szCs w:val="23"/>
        </w:rPr>
        <w:object w:dxaOrig="8486" w:dyaOrig="4217" w14:anchorId="54F70F77">
          <v:shape id="_x0000_i1106" type="#_x0000_t75" style="width:424.5pt;height:210.8pt" o:ole="">
            <v:imagedata r:id="rId179" o:title=""/>
          </v:shape>
          <o:OLEObject Type="Link" ProgID="Excel.Sheet.12" ShapeID="_x0000_i1106" DrawAspect="Content" r:id="rId180" UpdateMode="Always">
            <o:LinkType>EnhancedMetaFile</o:LinkType>
            <o:LockedField>false</o:LockedField>
            <o:FieldCodes>\* MERGEFORMAT</o:FieldCodes>
          </o:OLEObject>
        </w:object>
      </w:r>
    </w:p>
    <w:p w14:paraId="05458609" w14:textId="77777777" w:rsidR="00386757" w:rsidRPr="00183434" w:rsidRDefault="00386757" w:rsidP="00183434">
      <w:pPr>
        <w:ind w:left="709"/>
        <w:jc w:val="both"/>
        <w:rPr>
          <w:rFonts w:cs="Arial"/>
          <w:sz w:val="23"/>
          <w:szCs w:val="23"/>
          <w:highlight w:val="cyan"/>
        </w:rPr>
      </w:pPr>
    </w:p>
    <w:p w14:paraId="734E27FD" w14:textId="1861132B" w:rsidR="001034FF" w:rsidRPr="00183434" w:rsidRDefault="00E6657E" w:rsidP="00E6657E">
      <w:pPr>
        <w:rPr>
          <w:rFonts w:cs="Arial"/>
          <w:sz w:val="23"/>
          <w:szCs w:val="23"/>
          <w:highlight w:val="cyan"/>
        </w:rPr>
      </w:pPr>
      <w:r>
        <w:rPr>
          <w:rFonts w:cs="Arial"/>
          <w:sz w:val="23"/>
          <w:szCs w:val="23"/>
          <w:highlight w:val="cyan"/>
        </w:rPr>
        <w:br w:type="page"/>
      </w:r>
    </w:p>
    <w:p w14:paraId="60C851C4" w14:textId="77777777" w:rsidR="00386757" w:rsidRPr="00183434" w:rsidRDefault="00386757" w:rsidP="00183434">
      <w:pPr>
        <w:jc w:val="both"/>
        <w:rPr>
          <w:rFonts w:cs="Arial"/>
          <w:b/>
          <w:sz w:val="23"/>
          <w:szCs w:val="23"/>
          <w:u w:val="single"/>
        </w:rPr>
      </w:pPr>
      <w:r w:rsidRPr="00183434">
        <w:rPr>
          <w:rFonts w:cs="Arial"/>
          <w:b/>
          <w:sz w:val="23"/>
          <w:szCs w:val="23"/>
        </w:rPr>
        <w:lastRenderedPageBreak/>
        <w:t>5</w:t>
      </w:r>
      <w:r w:rsidR="001B2752" w:rsidRPr="00183434">
        <w:rPr>
          <w:rFonts w:cs="Arial"/>
          <w:b/>
          <w:sz w:val="23"/>
          <w:szCs w:val="23"/>
        </w:rPr>
        <w:t>1</w:t>
      </w:r>
      <w:r w:rsidRPr="00183434">
        <w:rPr>
          <w:rFonts w:cs="Arial"/>
          <w:sz w:val="23"/>
          <w:szCs w:val="23"/>
        </w:rPr>
        <w:t>.</w:t>
      </w:r>
      <w:r w:rsidRPr="00183434">
        <w:rPr>
          <w:rFonts w:cs="Arial"/>
          <w:sz w:val="23"/>
          <w:szCs w:val="23"/>
        </w:rPr>
        <w:tab/>
      </w:r>
      <w:r w:rsidRPr="00183434">
        <w:rPr>
          <w:rFonts w:cs="Arial"/>
          <w:b/>
          <w:sz w:val="23"/>
          <w:szCs w:val="23"/>
          <w:u w:val="single"/>
        </w:rPr>
        <w:t>CASH FLOW STATEMENT – FINANCING ACTIVITES</w:t>
      </w:r>
    </w:p>
    <w:p w14:paraId="6BE1EF45" w14:textId="77777777" w:rsidR="00867D48" w:rsidRPr="00183434" w:rsidRDefault="00867D48" w:rsidP="00183434">
      <w:pPr>
        <w:jc w:val="both"/>
        <w:rPr>
          <w:rFonts w:cs="Arial"/>
          <w:b/>
          <w:sz w:val="23"/>
          <w:szCs w:val="23"/>
          <w:u w:val="single"/>
        </w:rPr>
      </w:pPr>
    </w:p>
    <w:p w14:paraId="37DE3E3B" w14:textId="7163DEFE" w:rsidR="00867D48" w:rsidRPr="00183434" w:rsidRDefault="000B7D57" w:rsidP="00183434">
      <w:pPr>
        <w:ind w:firstLine="720"/>
        <w:jc w:val="both"/>
        <w:rPr>
          <w:rFonts w:cs="Arial"/>
          <w:b/>
          <w:sz w:val="23"/>
          <w:szCs w:val="23"/>
          <w:u w:val="single"/>
        </w:rPr>
      </w:pPr>
      <w:r w:rsidRPr="00183434">
        <w:rPr>
          <w:rFonts w:cs="Arial"/>
          <w:b/>
          <w:sz w:val="23"/>
          <w:szCs w:val="23"/>
          <w:u w:val="single"/>
        </w:rPr>
        <w:object w:dxaOrig="8486" w:dyaOrig="2633" w14:anchorId="09E0CF96">
          <v:shape id="_x0000_i1107" type="#_x0000_t75" style="width:424.5pt;height:132.5pt" o:ole="">
            <v:imagedata r:id="rId181" o:title=""/>
          </v:shape>
          <o:OLEObject Type="Link" ProgID="Excel.Sheet.12" ShapeID="_x0000_i1107" DrawAspect="Content" r:id="rId182" UpdateMode="Always">
            <o:LinkType>EnhancedMetaFile</o:LinkType>
            <o:LockedField>false</o:LockedField>
            <o:FieldCodes>\* MERGEFORMAT</o:FieldCodes>
          </o:OLEObject>
        </w:object>
      </w:r>
    </w:p>
    <w:p w14:paraId="0D332B3B" w14:textId="5F290EA5" w:rsidR="00386757" w:rsidRPr="00183434" w:rsidRDefault="00386757" w:rsidP="00183434">
      <w:pPr>
        <w:jc w:val="both"/>
        <w:rPr>
          <w:rFonts w:cs="Arial"/>
          <w:sz w:val="23"/>
          <w:szCs w:val="23"/>
        </w:rPr>
      </w:pPr>
    </w:p>
    <w:p w14:paraId="21F3274F" w14:textId="77777777" w:rsidR="00386757" w:rsidRPr="00183434" w:rsidRDefault="006D58A7" w:rsidP="00183434">
      <w:pPr>
        <w:jc w:val="both"/>
        <w:rPr>
          <w:rFonts w:cs="Arial"/>
          <w:sz w:val="23"/>
          <w:szCs w:val="23"/>
        </w:rPr>
      </w:pPr>
      <w:r w:rsidRPr="00183434">
        <w:rPr>
          <w:rFonts w:cs="Arial"/>
          <w:b/>
          <w:sz w:val="23"/>
          <w:szCs w:val="23"/>
        </w:rPr>
        <w:t>5</w:t>
      </w:r>
      <w:r w:rsidR="001B2752" w:rsidRPr="00183434">
        <w:rPr>
          <w:rFonts w:cs="Arial"/>
          <w:b/>
          <w:sz w:val="23"/>
          <w:szCs w:val="23"/>
        </w:rPr>
        <w:t>2.</w:t>
      </w:r>
      <w:r w:rsidR="00386757" w:rsidRPr="00183434">
        <w:rPr>
          <w:rFonts w:cs="Arial"/>
          <w:b/>
          <w:sz w:val="23"/>
          <w:szCs w:val="23"/>
        </w:rPr>
        <w:tab/>
      </w:r>
      <w:r w:rsidR="00386757" w:rsidRPr="00183434">
        <w:rPr>
          <w:rFonts w:cs="Arial"/>
          <w:b/>
          <w:sz w:val="23"/>
          <w:szCs w:val="23"/>
          <w:u w:val="single"/>
        </w:rPr>
        <w:t>RELATED PARTY TRANSACTIONS</w:t>
      </w:r>
    </w:p>
    <w:p w14:paraId="0837C86F" w14:textId="77777777" w:rsidR="00386757" w:rsidRPr="00183434" w:rsidRDefault="00386757" w:rsidP="00183434">
      <w:pPr>
        <w:jc w:val="both"/>
        <w:rPr>
          <w:rFonts w:cs="Arial"/>
          <w:sz w:val="23"/>
          <w:szCs w:val="23"/>
        </w:rPr>
      </w:pPr>
    </w:p>
    <w:p w14:paraId="5F110FC8" w14:textId="77777777" w:rsidR="00386757" w:rsidRPr="00183434" w:rsidRDefault="00386757" w:rsidP="00183434">
      <w:pPr>
        <w:pStyle w:val="BodyTextIndent"/>
        <w:jc w:val="both"/>
        <w:rPr>
          <w:rFonts w:cs="Arial"/>
          <w:sz w:val="23"/>
          <w:szCs w:val="23"/>
        </w:rPr>
      </w:pPr>
      <w:r w:rsidRPr="00183434">
        <w:rPr>
          <w:rFonts w:cs="Arial"/>
          <w:sz w:val="23"/>
          <w:szCs w:val="23"/>
        </w:rPr>
        <w:tab/>
        <w:t>The Code requires that material transactions with third parties that have the potential to control or influence the Council or to be controlled or influenced by the Council are disclosed in the accounts.  For this Council, these parties are mainly Central Government, other Local Authorities, subsidiary and associated companies, joint ventures and joint venture partners, Members, Chief Officers, Senior Officers and the pension fund.</w:t>
      </w:r>
    </w:p>
    <w:p w14:paraId="2C97541C" w14:textId="77777777" w:rsidR="00386757" w:rsidRPr="00183434" w:rsidRDefault="00386757" w:rsidP="00183434">
      <w:pPr>
        <w:pStyle w:val="BodyTextIndent"/>
        <w:jc w:val="both"/>
        <w:rPr>
          <w:rFonts w:cs="Arial"/>
          <w:sz w:val="23"/>
          <w:szCs w:val="23"/>
        </w:rPr>
      </w:pPr>
    </w:p>
    <w:p w14:paraId="44827197" w14:textId="77777777" w:rsidR="00386757" w:rsidRPr="00183434" w:rsidRDefault="00386757" w:rsidP="00183434">
      <w:pPr>
        <w:pStyle w:val="BodyTextIndent"/>
        <w:jc w:val="both"/>
        <w:rPr>
          <w:rFonts w:cs="Arial"/>
          <w:sz w:val="23"/>
          <w:szCs w:val="23"/>
        </w:rPr>
      </w:pPr>
      <w:r w:rsidRPr="00183434">
        <w:rPr>
          <w:rFonts w:cs="Arial"/>
          <w:sz w:val="23"/>
          <w:szCs w:val="23"/>
        </w:rPr>
        <w:tab/>
        <w:t>Disclosure of these transactions allows readers to assess the extent to which the Council might have been constrained in its ability to operate independently or might have secured the ability to limit another party’s ability to bargain freely with the Authority.</w:t>
      </w:r>
    </w:p>
    <w:p w14:paraId="5B4C8944" w14:textId="77777777" w:rsidR="00386757" w:rsidRPr="00183434" w:rsidRDefault="00386757" w:rsidP="00183434">
      <w:pPr>
        <w:pStyle w:val="BodyTextIndent"/>
        <w:jc w:val="both"/>
        <w:rPr>
          <w:rFonts w:cs="Arial"/>
          <w:sz w:val="23"/>
          <w:szCs w:val="23"/>
        </w:rPr>
      </w:pPr>
    </w:p>
    <w:p w14:paraId="223AE69F" w14:textId="77777777" w:rsidR="00386757" w:rsidRPr="00183434" w:rsidRDefault="00386757" w:rsidP="00183434">
      <w:pPr>
        <w:pStyle w:val="BodyTextIndent"/>
        <w:jc w:val="both"/>
        <w:rPr>
          <w:rFonts w:cs="Arial"/>
          <w:b/>
          <w:sz w:val="23"/>
          <w:szCs w:val="23"/>
          <w:u w:val="single"/>
        </w:rPr>
      </w:pPr>
      <w:r w:rsidRPr="00183434">
        <w:rPr>
          <w:rFonts w:cs="Arial"/>
          <w:sz w:val="23"/>
          <w:szCs w:val="23"/>
        </w:rPr>
        <w:tab/>
      </w:r>
      <w:r w:rsidRPr="00183434">
        <w:rPr>
          <w:rFonts w:cs="Arial"/>
          <w:b/>
          <w:sz w:val="23"/>
          <w:szCs w:val="23"/>
          <w:u w:val="single"/>
        </w:rPr>
        <w:t>Central Government</w:t>
      </w:r>
    </w:p>
    <w:p w14:paraId="16A1B98E" w14:textId="77777777" w:rsidR="009B127F" w:rsidRPr="00183434" w:rsidRDefault="009B127F" w:rsidP="00183434">
      <w:pPr>
        <w:pStyle w:val="BodyTextIndent"/>
        <w:jc w:val="both"/>
        <w:rPr>
          <w:rFonts w:cs="Arial"/>
          <w:b/>
          <w:sz w:val="23"/>
          <w:szCs w:val="23"/>
          <w:u w:val="single"/>
        </w:rPr>
      </w:pPr>
    </w:p>
    <w:p w14:paraId="48AE3156" w14:textId="77777777" w:rsidR="00386757" w:rsidRPr="00183434" w:rsidRDefault="00386757" w:rsidP="00183434">
      <w:pPr>
        <w:pStyle w:val="BodyTextIndent"/>
        <w:ind w:firstLine="0"/>
        <w:jc w:val="both"/>
        <w:rPr>
          <w:rFonts w:cs="Arial"/>
          <w:sz w:val="23"/>
          <w:szCs w:val="23"/>
        </w:rPr>
      </w:pPr>
      <w:r w:rsidRPr="00183434">
        <w:rPr>
          <w:rFonts w:cs="Arial"/>
          <w:sz w:val="23"/>
          <w:szCs w:val="23"/>
        </w:rPr>
        <w:t>The UK Central Government has significant influence over the general operations of the Authority – it is responsible for providing the statutory framework within which the Authority operat</w:t>
      </w:r>
      <w:r w:rsidR="00CE0F1A" w:rsidRPr="00183434">
        <w:rPr>
          <w:rFonts w:cs="Arial"/>
          <w:sz w:val="23"/>
          <w:szCs w:val="23"/>
        </w:rPr>
        <w:t>es, provides</w:t>
      </w:r>
      <w:r w:rsidRPr="00183434">
        <w:rPr>
          <w:rFonts w:cs="Arial"/>
          <w:sz w:val="23"/>
          <w:szCs w:val="23"/>
        </w:rPr>
        <w:t xml:space="preserve"> funding in the form of grants and prescribes the terms of many of the transactions that the Authority has with other parties (eg council tax bills, housing benefits). Grants received from </w:t>
      </w:r>
      <w:r w:rsidR="004D4DD5" w:rsidRPr="00183434">
        <w:rPr>
          <w:rFonts w:cs="Arial"/>
          <w:sz w:val="23"/>
          <w:szCs w:val="23"/>
        </w:rPr>
        <w:t>government departments are set out</w:t>
      </w:r>
      <w:r w:rsidRPr="00183434">
        <w:rPr>
          <w:rFonts w:cs="Arial"/>
          <w:sz w:val="23"/>
          <w:szCs w:val="23"/>
        </w:rPr>
        <w:t xml:space="preserve"> in </w:t>
      </w:r>
      <w:r w:rsidR="00FD59FA" w:rsidRPr="00183434">
        <w:rPr>
          <w:rFonts w:cs="Arial"/>
          <w:sz w:val="23"/>
          <w:szCs w:val="23"/>
        </w:rPr>
        <w:t xml:space="preserve">Note </w:t>
      </w:r>
      <w:r w:rsidR="00BB099E" w:rsidRPr="00183434">
        <w:rPr>
          <w:rFonts w:cs="Arial"/>
          <w:sz w:val="23"/>
          <w:szCs w:val="23"/>
        </w:rPr>
        <w:t>18</w:t>
      </w:r>
      <w:r w:rsidR="004D4DD5" w:rsidRPr="00183434">
        <w:rPr>
          <w:rFonts w:cs="Arial"/>
          <w:sz w:val="23"/>
          <w:szCs w:val="23"/>
        </w:rPr>
        <w:t xml:space="preserve"> on grant income</w:t>
      </w:r>
      <w:r w:rsidRPr="00183434">
        <w:rPr>
          <w:rFonts w:cs="Arial"/>
          <w:sz w:val="23"/>
          <w:szCs w:val="23"/>
        </w:rPr>
        <w:t>.</w:t>
      </w:r>
    </w:p>
    <w:p w14:paraId="5DA78655" w14:textId="77777777" w:rsidR="00386757" w:rsidRPr="00183434" w:rsidRDefault="00386757" w:rsidP="00183434">
      <w:pPr>
        <w:pStyle w:val="BodyTextIndent"/>
        <w:ind w:firstLine="0"/>
        <w:jc w:val="both"/>
        <w:rPr>
          <w:rFonts w:cs="Arial"/>
          <w:sz w:val="23"/>
          <w:szCs w:val="23"/>
        </w:rPr>
      </w:pPr>
    </w:p>
    <w:p w14:paraId="7ED95FC3" w14:textId="77777777" w:rsidR="00386757" w:rsidRPr="00183434" w:rsidRDefault="00386757" w:rsidP="00183434">
      <w:pPr>
        <w:pStyle w:val="BodyTextIndent"/>
        <w:ind w:firstLine="0"/>
        <w:jc w:val="both"/>
        <w:rPr>
          <w:rFonts w:cs="Arial"/>
          <w:sz w:val="23"/>
          <w:szCs w:val="23"/>
          <w:u w:val="single"/>
        </w:rPr>
      </w:pPr>
      <w:r w:rsidRPr="00183434">
        <w:rPr>
          <w:rFonts w:cs="Arial"/>
          <w:b/>
          <w:sz w:val="23"/>
          <w:szCs w:val="23"/>
          <w:u w:val="single"/>
        </w:rPr>
        <w:t>Members and Officers</w:t>
      </w:r>
    </w:p>
    <w:p w14:paraId="743BC9D3" w14:textId="44724A89" w:rsidR="00386757" w:rsidRPr="00183434" w:rsidRDefault="00386757" w:rsidP="00183434">
      <w:pPr>
        <w:pStyle w:val="BodyTextIndent"/>
        <w:ind w:firstLine="0"/>
        <w:jc w:val="both"/>
        <w:rPr>
          <w:rFonts w:cs="Arial"/>
          <w:sz w:val="23"/>
          <w:szCs w:val="23"/>
        </w:rPr>
      </w:pPr>
      <w:r w:rsidRPr="00183434">
        <w:rPr>
          <w:rFonts w:cs="Arial"/>
          <w:sz w:val="23"/>
          <w:szCs w:val="23"/>
        </w:rPr>
        <w:t>Members of the Council have direct control over the Council’s financial and operating policies. The total of</w:t>
      </w:r>
      <w:r w:rsidR="00F512BA" w:rsidRPr="00183434">
        <w:rPr>
          <w:rFonts w:cs="Arial"/>
          <w:sz w:val="23"/>
          <w:szCs w:val="23"/>
        </w:rPr>
        <w:t xml:space="preserve"> </w:t>
      </w:r>
      <w:r w:rsidR="00AC3644" w:rsidRPr="00183434">
        <w:rPr>
          <w:rFonts w:cs="Arial"/>
          <w:sz w:val="23"/>
          <w:szCs w:val="23"/>
        </w:rPr>
        <w:t>members allowances paid in 20</w:t>
      </w:r>
      <w:r w:rsidR="00AA3424" w:rsidRPr="00183434">
        <w:rPr>
          <w:rFonts w:cs="Arial"/>
          <w:sz w:val="23"/>
          <w:szCs w:val="23"/>
        </w:rPr>
        <w:t>2</w:t>
      </w:r>
      <w:r w:rsidR="00EA4C32" w:rsidRPr="00183434">
        <w:rPr>
          <w:rFonts w:cs="Arial"/>
          <w:sz w:val="23"/>
          <w:szCs w:val="23"/>
        </w:rPr>
        <w:t>5</w:t>
      </w:r>
      <w:r w:rsidR="00AA3424" w:rsidRPr="00183434">
        <w:rPr>
          <w:rFonts w:cs="Arial"/>
          <w:sz w:val="23"/>
          <w:szCs w:val="23"/>
        </w:rPr>
        <w:t>/2</w:t>
      </w:r>
      <w:r w:rsidR="00EA4C32" w:rsidRPr="00183434">
        <w:rPr>
          <w:rFonts w:cs="Arial"/>
          <w:sz w:val="23"/>
          <w:szCs w:val="23"/>
        </w:rPr>
        <w:t>6</w:t>
      </w:r>
      <w:r w:rsidRPr="00183434">
        <w:rPr>
          <w:rFonts w:cs="Arial"/>
          <w:sz w:val="23"/>
          <w:szCs w:val="23"/>
        </w:rPr>
        <w:t xml:space="preserve"> is shown in Note </w:t>
      </w:r>
      <w:r w:rsidR="00FD59FA" w:rsidRPr="00183434">
        <w:rPr>
          <w:rFonts w:cs="Arial"/>
          <w:sz w:val="23"/>
          <w:szCs w:val="23"/>
        </w:rPr>
        <w:t>1</w:t>
      </w:r>
      <w:r w:rsidR="00BB099E" w:rsidRPr="00183434">
        <w:rPr>
          <w:rFonts w:cs="Arial"/>
          <w:sz w:val="23"/>
          <w:szCs w:val="23"/>
        </w:rPr>
        <w:t>7</w:t>
      </w:r>
      <w:r w:rsidR="001034FF" w:rsidRPr="00183434">
        <w:rPr>
          <w:rFonts w:cs="Arial"/>
          <w:sz w:val="23"/>
          <w:szCs w:val="23"/>
        </w:rPr>
        <w:t>.</w:t>
      </w:r>
    </w:p>
    <w:p w14:paraId="34BAABF3" w14:textId="77777777" w:rsidR="00386757" w:rsidRPr="00183434" w:rsidRDefault="00386757" w:rsidP="00183434">
      <w:pPr>
        <w:pStyle w:val="BodyTextIndent"/>
        <w:ind w:firstLine="0"/>
        <w:jc w:val="both"/>
        <w:rPr>
          <w:rFonts w:cs="Arial"/>
          <w:sz w:val="23"/>
          <w:szCs w:val="23"/>
        </w:rPr>
      </w:pPr>
    </w:p>
    <w:p w14:paraId="78634C56" w14:textId="77777777" w:rsidR="00386757" w:rsidRPr="00183434" w:rsidRDefault="00386757" w:rsidP="00183434">
      <w:pPr>
        <w:pStyle w:val="BodyTextIndent"/>
        <w:ind w:firstLine="0"/>
        <w:jc w:val="both"/>
        <w:rPr>
          <w:rFonts w:cs="Arial"/>
          <w:sz w:val="23"/>
          <w:szCs w:val="23"/>
        </w:rPr>
      </w:pPr>
      <w:r w:rsidRPr="00183434">
        <w:rPr>
          <w:rFonts w:cs="Arial"/>
          <w:sz w:val="23"/>
          <w:szCs w:val="23"/>
        </w:rPr>
        <w:t xml:space="preserve">Council Members and senior officers are required to make annual disclosures of the pecuniary and non-pecuniary interests to the Council’s monitoring officer for inclusion in the Register of Members </w:t>
      </w:r>
      <w:r w:rsidR="00867C78" w:rsidRPr="00183434">
        <w:rPr>
          <w:rFonts w:cs="Arial"/>
          <w:sz w:val="23"/>
          <w:szCs w:val="23"/>
        </w:rPr>
        <w:t>I</w:t>
      </w:r>
      <w:r w:rsidRPr="00183434">
        <w:rPr>
          <w:rFonts w:cs="Arial"/>
          <w:sz w:val="23"/>
          <w:szCs w:val="23"/>
        </w:rPr>
        <w:t>nterests and the Declaration of Personal Interests (Officers).  Members are also required to declare any interest on individual committee agenda items being discussed at meetings. Finally</w:t>
      </w:r>
      <w:r w:rsidR="002110D8" w:rsidRPr="00183434">
        <w:rPr>
          <w:rFonts w:cs="Arial"/>
          <w:sz w:val="23"/>
          <w:szCs w:val="23"/>
        </w:rPr>
        <w:t>,</w:t>
      </w:r>
      <w:r w:rsidRPr="00183434">
        <w:rPr>
          <w:rFonts w:cs="Arial"/>
          <w:sz w:val="23"/>
          <w:szCs w:val="23"/>
        </w:rPr>
        <w:t xml:space="preserve"> a separate declaration has been returned at year end by all members and senior officers. The returns confirm that there are no material interests in related parties beyond those in voluntary organisations declared above</w:t>
      </w:r>
      <w:r w:rsidR="00A43205" w:rsidRPr="00183434">
        <w:rPr>
          <w:rFonts w:cs="Arial"/>
          <w:sz w:val="23"/>
          <w:szCs w:val="23"/>
        </w:rPr>
        <w:t>.</w:t>
      </w:r>
    </w:p>
    <w:p w14:paraId="14746EE3" w14:textId="77777777" w:rsidR="00D36841" w:rsidRPr="00183434" w:rsidRDefault="00D36841" w:rsidP="00183434">
      <w:pPr>
        <w:pStyle w:val="BodyTextIndent"/>
        <w:ind w:firstLine="0"/>
        <w:jc w:val="both"/>
        <w:rPr>
          <w:rFonts w:cs="Arial"/>
          <w:sz w:val="23"/>
          <w:szCs w:val="23"/>
          <w:highlight w:val="cyan"/>
        </w:rPr>
      </w:pPr>
    </w:p>
    <w:p w14:paraId="04AE1D4A" w14:textId="77777777" w:rsidR="00386757" w:rsidRPr="00183434" w:rsidRDefault="00386757" w:rsidP="00183434">
      <w:pPr>
        <w:tabs>
          <w:tab w:val="left" w:pos="720"/>
        </w:tabs>
        <w:ind w:left="720" w:hanging="720"/>
        <w:jc w:val="both"/>
        <w:rPr>
          <w:rFonts w:cs="Arial"/>
          <w:sz w:val="23"/>
          <w:szCs w:val="23"/>
        </w:rPr>
      </w:pPr>
      <w:r w:rsidRPr="00183434">
        <w:rPr>
          <w:rFonts w:cs="Arial"/>
          <w:sz w:val="23"/>
          <w:szCs w:val="23"/>
        </w:rPr>
        <w:tab/>
      </w:r>
      <w:r w:rsidRPr="00183434">
        <w:rPr>
          <w:rFonts w:cs="Arial"/>
          <w:b/>
          <w:sz w:val="23"/>
          <w:szCs w:val="23"/>
          <w:u w:val="single"/>
        </w:rPr>
        <w:t>Subsidiary and Associated Companies</w:t>
      </w:r>
    </w:p>
    <w:p w14:paraId="26A65FCC" w14:textId="77777777" w:rsidR="00386757" w:rsidRPr="00183434" w:rsidRDefault="00386757" w:rsidP="00183434">
      <w:pPr>
        <w:tabs>
          <w:tab w:val="left" w:pos="720"/>
        </w:tabs>
        <w:ind w:left="720" w:hanging="720"/>
        <w:jc w:val="both"/>
        <w:rPr>
          <w:rFonts w:cs="Arial"/>
          <w:sz w:val="23"/>
          <w:szCs w:val="23"/>
        </w:rPr>
      </w:pPr>
      <w:r w:rsidRPr="00183434">
        <w:rPr>
          <w:rFonts w:cs="Arial"/>
          <w:sz w:val="23"/>
          <w:szCs w:val="23"/>
        </w:rPr>
        <w:tab/>
        <w:t>The authority had no interest in subsidiary or associated companies in the year.</w:t>
      </w:r>
    </w:p>
    <w:p w14:paraId="57B5ECA0" w14:textId="77777777" w:rsidR="002E6599" w:rsidRPr="00183434" w:rsidRDefault="002E6599" w:rsidP="00183434">
      <w:pPr>
        <w:tabs>
          <w:tab w:val="left" w:pos="720"/>
        </w:tabs>
        <w:ind w:left="720" w:hanging="720"/>
        <w:jc w:val="both"/>
        <w:rPr>
          <w:rFonts w:cs="Arial"/>
          <w:sz w:val="23"/>
          <w:szCs w:val="23"/>
        </w:rPr>
      </w:pPr>
    </w:p>
    <w:p w14:paraId="794395F5" w14:textId="77777777" w:rsidR="002E6599" w:rsidRPr="00183434" w:rsidRDefault="002E6599" w:rsidP="00183434">
      <w:pPr>
        <w:tabs>
          <w:tab w:val="left" w:pos="720"/>
        </w:tabs>
        <w:ind w:left="720" w:hanging="720"/>
        <w:jc w:val="both"/>
        <w:rPr>
          <w:rFonts w:cs="Arial"/>
          <w:b/>
          <w:bCs/>
          <w:sz w:val="23"/>
          <w:szCs w:val="23"/>
          <w:u w:val="single"/>
        </w:rPr>
      </w:pPr>
      <w:r w:rsidRPr="00183434">
        <w:rPr>
          <w:rFonts w:cs="Arial"/>
          <w:sz w:val="23"/>
          <w:szCs w:val="23"/>
        </w:rPr>
        <w:tab/>
      </w:r>
      <w:r w:rsidRPr="00183434">
        <w:rPr>
          <w:rFonts w:cs="Arial"/>
          <w:b/>
          <w:bCs/>
          <w:sz w:val="23"/>
          <w:szCs w:val="23"/>
          <w:u w:val="single"/>
        </w:rPr>
        <w:t>Staveley Town Deal</w:t>
      </w:r>
    </w:p>
    <w:p w14:paraId="30DCBE0F" w14:textId="3E47E400" w:rsidR="002E6599" w:rsidRPr="00183434" w:rsidRDefault="002E6599" w:rsidP="00183434">
      <w:pPr>
        <w:tabs>
          <w:tab w:val="left" w:pos="720"/>
        </w:tabs>
        <w:ind w:left="720" w:hanging="720"/>
        <w:jc w:val="both"/>
        <w:rPr>
          <w:rFonts w:cs="Arial"/>
          <w:sz w:val="23"/>
          <w:szCs w:val="23"/>
        </w:rPr>
      </w:pPr>
      <w:r w:rsidRPr="00183434">
        <w:rPr>
          <w:rFonts w:cs="Arial"/>
          <w:sz w:val="23"/>
          <w:szCs w:val="23"/>
        </w:rPr>
        <w:tab/>
        <w:t>The Authority is the accountable body for the Staveley Town Deal. In 2021/22, it was allocated £25.2m. This money has been allocated to 1</w:t>
      </w:r>
      <w:r w:rsidR="00065AAC" w:rsidRPr="00183434">
        <w:rPr>
          <w:rFonts w:cs="Arial"/>
          <w:sz w:val="23"/>
          <w:szCs w:val="23"/>
        </w:rPr>
        <w:t>0</w:t>
      </w:r>
      <w:r w:rsidRPr="00183434">
        <w:rPr>
          <w:rFonts w:cs="Arial"/>
          <w:sz w:val="23"/>
          <w:szCs w:val="23"/>
        </w:rPr>
        <w:t xml:space="preserve"> projects, 3 of which are spon</w:t>
      </w:r>
      <w:r w:rsidR="002A50B6" w:rsidRPr="00183434">
        <w:rPr>
          <w:rFonts w:cs="Arial"/>
          <w:sz w:val="23"/>
          <w:szCs w:val="23"/>
        </w:rPr>
        <w:t>s</w:t>
      </w:r>
      <w:r w:rsidRPr="00183434">
        <w:rPr>
          <w:rFonts w:cs="Arial"/>
          <w:sz w:val="23"/>
          <w:szCs w:val="23"/>
        </w:rPr>
        <w:t xml:space="preserve">ored by the Council and are included in our capital programme. The remaining </w:t>
      </w:r>
      <w:r w:rsidR="00065AAC" w:rsidRPr="00183434">
        <w:rPr>
          <w:rFonts w:cs="Arial"/>
          <w:sz w:val="23"/>
          <w:szCs w:val="23"/>
        </w:rPr>
        <w:t>7</w:t>
      </w:r>
      <w:r w:rsidRPr="00183434">
        <w:rPr>
          <w:rFonts w:cs="Arial"/>
          <w:sz w:val="23"/>
          <w:szCs w:val="23"/>
        </w:rPr>
        <w:t xml:space="preserve"> </w:t>
      </w:r>
      <w:r w:rsidRPr="00183434">
        <w:rPr>
          <w:rFonts w:cs="Arial"/>
          <w:sz w:val="23"/>
          <w:szCs w:val="23"/>
        </w:rPr>
        <w:lastRenderedPageBreak/>
        <w:t xml:space="preserve">projects are sponsored by other organisations and as accountable body we provide grant funding to these projects. </w:t>
      </w:r>
    </w:p>
    <w:p w14:paraId="1F740836" w14:textId="77777777" w:rsidR="00386757" w:rsidRPr="00183434" w:rsidRDefault="00386757" w:rsidP="00183434">
      <w:pPr>
        <w:tabs>
          <w:tab w:val="left" w:pos="720"/>
        </w:tabs>
        <w:jc w:val="both"/>
        <w:rPr>
          <w:rFonts w:cs="Arial"/>
          <w:sz w:val="23"/>
          <w:szCs w:val="23"/>
          <w:highlight w:val="cyan"/>
        </w:rPr>
      </w:pPr>
    </w:p>
    <w:p w14:paraId="416BD363" w14:textId="77777777" w:rsidR="00386757" w:rsidRPr="00183434" w:rsidRDefault="00386757" w:rsidP="00183434">
      <w:pPr>
        <w:tabs>
          <w:tab w:val="left" w:pos="720"/>
        </w:tabs>
        <w:ind w:left="720" w:hanging="720"/>
        <w:jc w:val="both"/>
        <w:rPr>
          <w:rFonts w:cs="Arial"/>
          <w:sz w:val="23"/>
          <w:szCs w:val="23"/>
        </w:rPr>
      </w:pPr>
      <w:r w:rsidRPr="00183434">
        <w:rPr>
          <w:rFonts w:cs="Arial"/>
          <w:sz w:val="23"/>
          <w:szCs w:val="23"/>
        </w:rPr>
        <w:tab/>
      </w:r>
      <w:r w:rsidR="002B1BC8" w:rsidRPr="00183434">
        <w:rPr>
          <w:rFonts w:cs="Arial"/>
          <w:b/>
          <w:sz w:val="23"/>
          <w:szCs w:val="23"/>
          <w:u w:val="single"/>
        </w:rPr>
        <w:t>Other Arrangements</w:t>
      </w:r>
    </w:p>
    <w:p w14:paraId="609959A6" w14:textId="77777777" w:rsidR="002B1BC8" w:rsidRPr="00183434" w:rsidRDefault="002B1BC8" w:rsidP="00183434">
      <w:pPr>
        <w:tabs>
          <w:tab w:val="left" w:pos="720"/>
        </w:tabs>
        <w:ind w:left="720" w:hanging="720"/>
        <w:jc w:val="both"/>
        <w:rPr>
          <w:rFonts w:cs="Arial"/>
          <w:sz w:val="23"/>
          <w:szCs w:val="23"/>
        </w:rPr>
      </w:pPr>
      <w:r w:rsidRPr="00183434">
        <w:rPr>
          <w:rFonts w:cs="Arial"/>
          <w:sz w:val="23"/>
          <w:szCs w:val="23"/>
        </w:rPr>
        <w:tab/>
      </w:r>
    </w:p>
    <w:p w14:paraId="76112997" w14:textId="77777777" w:rsidR="00386757" w:rsidRPr="00183434" w:rsidRDefault="00386757" w:rsidP="00183434">
      <w:pPr>
        <w:tabs>
          <w:tab w:val="left" w:pos="720"/>
        </w:tabs>
        <w:ind w:left="720" w:hanging="720"/>
        <w:jc w:val="both"/>
        <w:rPr>
          <w:rFonts w:cs="Arial"/>
          <w:sz w:val="23"/>
          <w:szCs w:val="23"/>
        </w:rPr>
      </w:pPr>
      <w:r w:rsidRPr="00183434">
        <w:rPr>
          <w:rFonts w:cs="Arial"/>
          <w:sz w:val="23"/>
          <w:szCs w:val="23"/>
        </w:rPr>
        <w:tab/>
        <w:t xml:space="preserve">The Council has a </w:t>
      </w:r>
      <w:r w:rsidR="00CE0F1A" w:rsidRPr="00183434">
        <w:rPr>
          <w:rFonts w:cs="Arial"/>
          <w:sz w:val="23"/>
          <w:szCs w:val="23"/>
        </w:rPr>
        <w:t>shared internal audit consort</w:t>
      </w:r>
      <w:r w:rsidR="006941C8" w:rsidRPr="00183434">
        <w:rPr>
          <w:rFonts w:cs="Arial"/>
          <w:sz w:val="23"/>
          <w:szCs w:val="23"/>
        </w:rPr>
        <w:t>ium</w:t>
      </w:r>
      <w:r w:rsidRPr="00183434">
        <w:rPr>
          <w:rFonts w:cs="Arial"/>
          <w:sz w:val="23"/>
          <w:szCs w:val="23"/>
        </w:rPr>
        <w:t xml:space="preserve"> with Bolsover and </w:t>
      </w:r>
      <w:proofErr w:type="gramStart"/>
      <w:r w:rsidRPr="00183434">
        <w:rPr>
          <w:rFonts w:cs="Arial"/>
          <w:sz w:val="23"/>
          <w:szCs w:val="23"/>
        </w:rPr>
        <w:t>North East</w:t>
      </w:r>
      <w:proofErr w:type="gramEnd"/>
      <w:r w:rsidRPr="00183434">
        <w:rPr>
          <w:rFonts w:cs="Arial"/>
          <w:sz w:val="23"/>
          <w:szCs w:val="23"/>
        </w:rPr>
        <w:t xml:space="preserve"> Derbyshire District Councils. Other joint arrangements may be explored with neighbouring authorities in the future.</w:t>
      </w:r>
    </w:p>
    <w:p w14:paraId="0B758277" w14:textId="77777777" w:rsidR="00386757" w:rsidRPr="00183434" w:rsidRDefault="00386757" w:rsidP="00183434">
      <w:pPr>
        <w:tabs>
          <w:tab w:val="left" w:pos="720"/>
        </w:tabs>
        <w:ind w:left="720" w:hanging="720"/>
        <w:jc w:val="both"/>
        <w:rPr>
          <w:rFonts w:cs="Arial"/>
          <w:sz w:val="23"/>
          <w:szCs w:val="23"/>
        </w:rPr>
      </w:pPr>
    </w:p>
    <w:p w14:paraId="361AC568" w14:textId="77777777" w:rsidR="00386757" w:rsidRPr="00183434" w:rsidRDefault="00386757" w:rsidP="00183434">
      <w:pPr>
        <w:tabs>
          <w:tab w:val="left" w:pos="720"/>
        </w:tabs>
        <w:ind w:left="720" w:hanging="720"/>
        <w:jc w:val="both"/>
        <w:rPr>
          <w:rFonts w:cs="Arial"/>
          <w:sz w:val="23"/>
          <w:szCs w:val="23"/>
        </w:rPr>
      </w:pPr>
      <w:r w:rsidRPr="00183434">
        <w:rPr>
          <w:rFonts w:cs="Arial"/>
          <w:sz w:val="23"/>
          <w:szCs w:val="23"/>
        </w:rPr>
        <w:tab/>
        <w:t xml:space="preserve">Chesterfield Borough Council is a partner in Chesterfield Waterside Ltd, a public/private partnership created to secure the regeneration of a strategic area within the borough. It has three Board </w:t>
      </w:r>
      <w:proofErr w:type="gramStart"/>
      <w:r w:rsidRPr="00183434">
        <w:rPr>
          <w:rFonts w:cs="Arial"/>
          <w:sz w:val="23"/>
          <w:szCs w:val="23"/>
        </w:rPr>
        <w:t>members</w:t>
      </w:r>
      <w:proofErr w:type="gramEnd"/>
      <w:r w:rsidRPr="00183434">
        <w:rPr>
          <w:rFonts w:cs="Arial"/>
          <w:sz w:val="23"/>
          <w:szCs w:val="23"/>
        </w:rPr>
        <w:t xml:space="preserve"> and the Leader of the Council is our representative.</w:t>
      </w:r>
    </w:p>
    <w:p w14:paraId="3C13E6C5" w14:textId="77777777" w:rsidR="0045240A" w:rsidRPr="00183434" w:rsidRDefault="0045240A" w:rsidP="00183434">
      <w:pPr>
        <w:tabs>
          <w:tab w:val="left" w:pos="720"/>
        </w:tabs>
        <w:ind w:left="720" w:hanging="720"/>
        <w:jc w:val="both"/>
        <w:rPr>
          <w:rFonts w:cs="Arial"/>
          <w:sz w:val="23"/>
          <w:szCs w:val="23"/>
        </w:rPr>
      </w:pPr>
    </w:p>
    <w:p w14:paraId="6288F20D" w14:textId="0E540542" w:rsidR="0045240A" w:rsidRPr="00183434" w:rsidRDefault="0045240A" w:rsidP="00183434">
      <w:pPr>
        <w:tabs>
          <w:tab w:val="left" w:pos="720"/>
        </w:tabs>
        <w:ind w:left="720" w:hanging="720"/>
        <w:jc w:val="both"/>
        <w:rPr>
          <w:rFonts w:cs="Arial"/>
          <w:sz w:val="23"/>
          <w:szCs w:val="23"/>
        </w:rPr>
      </w:pPr>
      <w:r w:rsidRPr="00183434">
        <w:rPr>
          <w:rFonts w:cs="Arial"/>
          <w:sz w:val="23"/>
          <w:szCs w:val="23"/>
        </w:rPr>
        <w:tab/>
        <w:t>The authority is a shareholder in Derbyshire Building Control Partner</w:t>
      </w:r>
      <w:r w:rsidR="002C0FEC" w:rsidRPr="00183434">
        <w:rPr>
          <w:rFonts w:cs="Arial"/>
          <w:sz w:val="23"/>
          <w:szCs w:val="23"/>
        </w:rPr>
        <w:t xml:space="preserve">ship Ltd. </w:t>
      </w:r>
      <w:r w:rsidRPr="00183434">
        <w:rPr>
          <w:rFonts w:cs="Arial"/>
          <w:sz w:val="23"/>
          <w:szCs w:val="23"/>
        </w:rPr>
        <w:t>The company provides us with our annual statutory building control services for £</w:t>
      </w:r>
      <w:r w:rsidR="002A50B6" w:rsidRPr="00183434">
        <w:rPr>
          <w:rFonts w:cs="Arial"/>
          <w:sz w:val="23"/>
          <w:szCs w:val="23"/>
        </w:rPr>
        <w:t>41,583</w:t>
      </w:r>
      <w:r w:rsidR="002C0FEC" w:rsidRPr="00183434">
        <w:rPr>
          <w:rFonts w:cs="Arial"/>
          <w:sz w:val="23"/>
          <w:szCs w:val="23"/>
        </w:rPr>
        <w:t xml:space="preserve">. </w:t>
      </w:r>
      <w:r w:rsidR="00683995" w:rsidRPr="00183434">
        <w:rPr>
          <w:rFonts w:cs="Arial"/>
          <w:sz w:val="23"/>
          <w:szCs w:val="23"/>
        </w:rPr>
        <w:t xml:space="preserve">The Council’s Chief Executive is also listed as a </w:t>
      </w:r>
      <w:proofErr w:type="gramStart"/>
      <w:r w:rsidR="00683995" w:rsidRPr="00183434">
        <w:rPr>
          <w:rFonts w:cs="Arial"/>
          <w:sz w:val="23"/>
          <w:szCs w:val="23"/>
        </w:rPr>
        <w:t>Director</w:t>
      </w:r>
      <w:proofErr w:type="gramEnd"/>
      <w:r w:rsidR="00683995" w:rsidRPr="00183434">
        <w:rPr>
          <w:rFonts w:cs="Arial"/>
          <w:sz w:val="23"/>
          <w:szCs w:val="23"/>
        </w:rPr>
        <w:t xml:space="preserve"> of the company but again receives no remuneration.</w:t>
      </w:r>
    </w:p>
    <w:p w14:paraId="3ABAB86F" w14:textId="77777777" w:rsidR="00065AAC" w:rsidRPr="00183434" w:rsidRDefault="00065AAC" w:rsidP="00183434">
      <w:pPr>
        <w:tabs>
          <w:tab w:val="left" w:pos="720"/>
        </w:tabs>
        <w:ind w:left="720" w:hanging="720"/>
        <w:jc w:val="both"/>
        <w:rPr>
          <w:rFonts w:cs="Arial"/>
          <w:sz w:val="23"/>
          <w:szCs w:val="23"/>
          <w:highlight w:val="cyan"/>
        </w:rPr>
      </w:pPr>
    </w:p>
    <w:p w14:paraId="284260C1" w14:textId="77777777" w:rsidR="00386757" w:rsidRPr="00183434" w:rsidRDefault="00386757" w:rsidP="00183434">
      <w:pPr>
        <w:tabs>
          <w:tab w:val="left" w:pos="720"/>
        </w:tabs>
        <w:ind w:left="720" w:hanging="720"/>
        <w:jc w:val="both"/>
        <w:rPr>
          <w:rFonts w:cs="Arial"/>
          <w:sz w:val="23"/>
          <w:szCs w:val="23"/>
        </w:rPr>
      </w:pPr>
      <w:r w:rsidRPr="00183434">
        <w:rPr>
          <w:rFonts w:cs="Arial"/>
          <w:sz w:val="23"/>
          <w:szCs w:val="23"/>
        </w:rPr>
        <w:tab/>
      </w:r>
    </w:p>
    <w:p w14:paraId="15868B35" w14:textId="77777777" w:rsidR="00386757" w:rsidRPr="00183434" w:rsidRDefault="00176F40" w:rsidP="00183434">
      <w:pPr>
        <w:tabs>
          <w:tab w:val="left" w:pos="720"/>
        </w:tabs>
        <w:jc w:val="both"/>
        <w:rPr>
          <w:rFonts w:cs="Arial"/>
          <w:sz w:val="23"/>
          <w:szCs w:val="23"/>
        </w:rPr>
      </w:pPr>
      <w:r w:rsidRPr="00183434">
        <w:rPr>
          <w:rFonts w:cs="Arial"/>
          <w:b/>
          <w:sz w:val="23"/>
          <w:szCs w:val="23"/>
        </w:rPr>
        <w:t>5</w:t>
      </w:r>
      <w:r w:rsidR="001B2752" w:rsidRPr="00183434">
        <w:rPr>
          <w:rFonts w:cs="Arial"/>
          <w:b/>
          <w:sz w:val="23"/>
          <w:szCs w:val="23"/>
        </w:rPr>
        <w:t>3</w:t>
      </w:r>
      <w:r w:rsidR="00386757" w:rsidRPr="00183434">
        <w:rPr>
          <w:rFonts w:cs="Arial"/>
          <w:sz w:val="23"/>
          <w:szCs w:val="23"/>
        </w:rPr>
        <w:t>.</w:t>
      </w:r>
      <w:r w:rsidR="00386757" w:rsidRPr="00183434">
        <w:rPr>
          <w:rFonts w:cs="Arial"/>
          <w:sz w:val="23"/>
          <w:szCs w:val="23"/>
        </w:rPr>
        <w:tab/>
      </w:r>
      <w:r w:rsidR="00386757" w:rsidRPr="00183434">
        <w:rPr>
          <w:rFonts w:cs="Arial"/>
          <w:b/>
          <w:sz w:val="23"/>
          <w:szCs w:val="23"/>
          <w:u w:val="single"/>
        </w:rPr>
        <w:t>CHESTERFIELD &amp; DISTRICT JOINT CREMATORIUM COMMITTEE</w:t>
      </w:r>
    </w:p>
    <w:p w14:paraId="6597217B" w14:textId="77777777" w:rsidR="00386757" w:rsidRPr="00183434" w:rsidRDefault="00386757" w:rsidP="00183434">
      <w:pPr>
        <w:tabs>
          <w:tab w:val="left" w:pos="720"/>
        </w:tabs>
        <w:jc w:val="both"/>
        <w:rPr>
          <w:rFonts w:cs="Arial"/>
          <w:sz w:val="23"/>
          <w:szCs w:val="23"/>
        </w:rPr>
      </w:pPr>
      <w:r w:rsidRPr="00183434">
        <w:rPr>
          <w:rFonts w:cs="Arial"/>
          <w:sz w:val="23"/>
          <w:szCs w:val="23"/>
        </w:rPr>
        <w:tab/>
      </w:r>
    </w:p>
    <w:p w14:paraId="71EC527C" w14:textId="77777777" w:rsidR="00386757" w:rsidRPr="00183434" w:rsidRDefault="00386757" w:rsidP="00183434">
      <w:pPr>
        <w:tabs>
          <w:tab w:val="left" w:pos="720"/>
        </w:tabs>
        <w:ind w:left="720"/>
        <w:jc w:val="both"/>
        <w:rPr>
          <w:rFonts w:cs="Arial"/>
          <w:sz w:val="23"/>
          <w:szCs w:val="23"/>
        </w:rPr>
      </w:pPr>
      <w:r w:rsidRPr="00183434">
        <w:rPr>
          <w:rFonts w:cs="Arial"/>
          <w:sz w:val="23"/>
          <w:szCs w:val="23"/>
        </w:rPr>
        <w:t xml:space="preserve">The Council operates a Crematorium jointly with Bolsover and </w:t>
      </w:r>
      <w:proofErr w:type="gramStart"/>
      <w:r w:rsidRPr="00183434">
        <w:rPr>
          <w:rFonts w:cs="Arial"/>
          <w:sz w:val="23"/>
          <w:szCs w:val="23"/>
        </w:rPr>
        <w:t>North East</w:t>
      </w:r>
      <w:proofErr w:type="gramEnd"/>
      <w:r w:rsidRPr="00183434">
        <w:rPr>
          <w:rFonts w:cs="Arial"/>
          <w:sz w:val="23"/>
          <w:szCs w:val="23"/>
        </w:rPr>
        <w:t xml:space="preserve"> Derbyshire District Councils. </w:t>
      </w:r>
    </w:p>
    <w:p w14:paraId="122540FB" w14:textId="77777777" w:rsidR="00386757" w:rsidRPr="00183434" w:rsidRDefault="00386757" w:rsidP="00183434">
      <w:pPr>
        <w:tabs>
          <w:tab w:val="left" w:pos="720"/>
        </w:tabs>
        <w:ind w:left="720"/>
        <w:jc w:val="both"/>
        <w:rPr>
          <w:rFonts w:cs="Arial"/>
          <w:sz w:val="23"/>
          <w:szCs w:val="23"/>
        </w:rPr>
      </w:pPr>
    </w:p>
    <w:p w14:paraId="3A3AA03F" w14:textId="77777777" w:rsidR="00386757" w:rsidRPr="00183434" w:rsidRDefault="00386757" w:rsidP="00183434">
      <w:pPr>
        <w:tabs>
          <w:tab w:val="left" w:pos="720"/>
        </w:tabs>
        <w:ind w:left="720"/>
        <w:jc w:val="both"/>
        <w:rPr>
          <w:rFonts w:cs="Arial"/>
          <w:sz w:val="23"/>
          <w:szCs w:val="23"/>
        </w:rPr>
      </w:pPr>
      <w:r w:rsidRPr="00183434">
        <w:rPr>
          <w:rFonts w:cs="Arial"/>
          <w:sz w:val="23"/>
          <w:szCs w:val="23"/>
        </w:rPr>
        <w:t>The accounts include our share of all transactions, assets, liabilities, income and expenditure.</w:t>
      </w:r>
    </w:p>
    <w:p w14:paraId="76225A2A" w14:textId="77777777" w:rsidR="00386757" w:rsidRPr="00183434" w:rsidRDefault="00386757" w:rsidP="00183434">
      <w:pPr>
        <w:tabs>
          <w:tab w:val="left" w:pos="720"/>
        </w:tabs>
        <w:ind w:left="720"/>
        <w:jc w:val="both"/>
        <w:rPr>
          <w:rFonts w:cs="Arial"/>
          <w:sz w:val="23"/>
          <w:szCs w:val="23"/>
        </w:rPr>
      </w:pPr>
    </w:p>
    <w:p w14:paraId="1EE9EFD3" w14:textId="77777777" w:rsidR="00386757" w:rsidRPr="00183434" w:rsidRDefault="00386757" w:rsidP="00183434">
      <w:pPr>
        <w:tabs>
          <w:tab w:val="left" w:pos="720"/>
        </w:tabs>
        <w:ind w:left="720"/>
        <w:jc w:val="both"/>
        <w:rPr>
          <w:rFonts w:cs="Arial"/>
          <w:sz w:val="23"/>
          <w:szCs w:val="23"/>
        </w:rPr>
      </w:pPr>
      <w:r w:rsidRPr="00183434">
        <w:rPr>
          <w:rFonts w:cs="Arial"/>
          <w:sz w:val="23"/>
          <w:szCs w:val="23"/>
        </w:rPr>
        <w:t xml:space="preserve">The proportion of transactions is based on the number of cremations of residents within the three districts over a rolling </w:t>
      </w:r>
      <w:proofErr w:type="gramStart"/>
      <w:r w:rsidRPr="00183434">
        <w:rPr>
          <w:rFonts w:cs="Arial"/>
          <w:sz w:val="23"/>
          <w:szCs w:val="23"/>
        </w:rPr>
        <w:t>3 year</w:t>
      </w:r>
      <w:proofErr w:type="gramEnd"/>
      <w:r w:rsidRPr="00183434">
        <w:rPr>
          <w:rFonts w:cs="Arial"/>
          <w:sz w:val="23"/>
          <w:szCs w:val="23"/>
        </w:rPr>
        <w:t xml:space="preserve"> period.</w:t>
      </w:r>
    </w:p>
    <w:p w14:paraId="0FA24128" w14:textId="77777777" w:rsidR="00386757" w:rsidRPr="00183434" w:rsidRDefault="00386757" w:rsidP="00183434">
      <w:pPr>
        <w:tabs>
          <w:tab w:val="left" w:pos="720"/>
        </w:tabs>
        <w:ind w:left="720"/>
        <w:jc w:val="both"/>
        <w:rPr>
          <w:rFonts w:cs="Arial"/>
          <w:sz w:val="23"/>
          <w:szCs w:val="23"/>
        </w:rPr>
      </w:pPr>
    </w:p>
    <w:p w14:paraId="5EAA444A" w14:textId="77777777" w:rsidR="00386757" w:rsidRPr="00183434" w:rsidRDefault="00386757" w:rsidP="00183434">
      <w:pPr>
        <w:tabs>
          <w:tab w:val="left" w:pos="720"/>
        </w:tabs>
        <w:ind w:left="720"/>
        <w:jc w:val="both"/>
        <w:rPr>
          <w:rFonts w:cs="Arial"/>
          <w:sz w:val="23"/>
          <w:szCs w:val="23"/>
        </w:rPr>
      </w:pPr>
      <w:r w:rsidRPr="00183434">
        <w:rPr>
          <w:rFonts w:cs="Arial"/>
          <w:sz w:val="23"/>
          <w:szCs w:val="23"/>
        </w:rPr>
        <w:t>The following percentages have been applied:</w:t>
      </w:r>
    </w:p>
    <w:p w14:paraId="4909E914" w14:textId="77777777" w:rsidR="00386757" w:rsidRPr="00183434" w:rsidRDefault="00386757" w:rsidP="00183434">
      <w:pPr>
        <w:tabs>
          <w:tab w:val="left" w:pos="720"/>
        </w:tabs>
        <w:ind w:left="720"/>
        <w:jc w:val="both"/>
        <w:rPr>
          <w:rFonts w:cs="Arial"/>
          <w:sz w:val="23"/>
          <w:szCs w:val="23"/>
        </w:rPr>
      </w:pPr>
    </w:p>
    <w:p w14:paraId="1C3F89A5" w14:textId="1F6E9BBB" w:rsidR="00AA3424" w:rsidRPr="00183434" w:rsidRDefault="000B7D57" w:rsidP="00183434">
      <w:pPr>
        <w:tabs>
          <w:tab w:val="left" w:pos="720"/>
        </w:tabs>
        <w:ind w:left="720"/>
        <w:jc w:val="both"/>
        <w:rPr>
          <w:rFonts w:cs="Arial"/>
          <w:sz w:val="23"/>
          <w:szCs w:val="23"/>
        </w:rPr>
      </w:pPr>
      <w:r w:rsidRPr="00183434">
        <w:rPr>
          <w:rFonts w:cs="Arial"/>
          <w:sz w:val="23"/>
          <w:szCs w:val="23"/>
        </w:rPr>
        <w:object w:dxaOrig="8654" w:dyaOrig="1073" w14:anchorId="3D8F738D">
          <v:shape id="_x0000_i1108" type="#_x0000_t75" style="width:432.6pt;height:53pt" o:ole="">
            <v:imagedata r:id="rId183" o:title=""/>
          </v:shape>
          <o:OLEObject Type="Link" ProgID="Excel.Sheet.12" ShapeID="_x0000_i1108" DrawAspect="Content" r:id="rId184" UpdateMode="Always">
            <o:LinkType>EnhancedMetaFile</o:LinkType>
            <o:LockedField>false</o:LockedField>
            <o:FieldCodes>\* MERGEFORMAT</o:FieldCodes>
          </o:OLEObject>
        </w:object>
      </w:r>
    </w:p>
    <w:p w14:paraId="4C904F90" w14:textId="77777777" w:rsidR="009338AF" w:rsidRPr="00183434" w:rsidRDefault="009338AF" w:rsidP="00183434">
      <w:pPr>
        <w:tabs>
          <w:tab w:val="left" w:pos="720"/>
        </w:tabs>
        <w:ind w:left="720"/>
        <w:jc w:val="both"/>
        <w:rPr>
          <w:rFonts w:cs="Arial"/>
          <w:sz w:val="23"/>
          <w:szCs w:val="23"/>
          <w:highlight w:val="cyan"/>
        </w:rPr>
      </w:pPr>
    </w:p>
    <w:p w14:paraId="5749323C" w14:textId="77777777" w:rsidR="00386757" w:rsidRPr="00183434" w:rsidRDefault="00386757" w:rsidP="00183434">
      <w:pPr>
        <w:tabs>
          <w:tab w:val="left" w:pos="720"/>
        </w:tabs>
        <w:ind w:left="720"/>
        <w:jc w:val="both"/>
        <w:rPr>
          <w:rFonts w:cs="Arial"/>
          <w:sz w:val="23"/>
          <w:szCs w:val="23"/>
        </w:rPr>
      </w:pPr>
      <w:r w:rsidRPr="00183434">
        <w:rPr>
          <w:rFonts w:cs="Arial"/>
          <w:sz w:val="23"/>
          <w:szCs w:val="23"/>
        </w:rPr>
        <w:t xml:space="preserve">The figures below show Chesterfield Borough Council’s share of the Chesterfield &amp; District Joint Crematorium’s income, expenditure, assets and liabilities included in the Comprehensive Income &amp; Expenditure Statement and Balance Sheet based on the split outlined above. </w:t>
      </w:r>
    </w:p>
    <w:p w14:paraId="2E19095B" w14:textId="77777777" w:rsidR="00643610" w:rsidRPr="00183434" w:rsidRDefault="00643610" w:rsidP="00183434">
      <w:pPr>
        <w:tabs>
          <w:tab w:val="left" w:pos="720"/>
        </w:tabs>
        <w:ind w:left="720"/>
        <w:jc w:val="both"/>
        <w:rPr>
          <w:rFonts w:cs="Arial"/>
          <w:sz w:val="23"/>
          <w:szCs w:val="23"/>
        </w:rPr>
      </w:pPr>
    </w:p>
    <w:p w14:paraId="1188AE92" w14:textId="77777777" w:rsidR="00386757" w:rsidRPr="00183434" w:rsidRDefault="00386757" w:rsidP="00183434">
      <w:pPr>
        <w:tabs>
          <w:tab w:val="left" w:pos="720"/>
        </w:tabs>
        <w:ind w:left="720"/>
        <w:jc w:val="both"/>
        <w:rPr>
          <w:rFonts w:cs="Arial"/>
          <w:sz w:val="23"/>
          <w:szCs w:val="23"/>
        </w:rPr>
      </w:pPr>
    </w:p>
    <w:p w14:paraId="439DC798" w14:textId="77777777" w:rsidR="00386757" w:rsidRPr="00183434" w:rsidRDefault="00386757" w:rsidP="00183434">
      <w:pPr>
        <w:tabs>
          <w:tab w:val="left" w:pos="720"/>
        </w:tabs>
        <w:jc w:val="both"/>
        <w:rPr>
          <w:rFonts w:cs="Arial"/>
          <w:b/>
          <w:sz w:val="23"/>
          <w:szCs w:val="23"/>
        </w:rPr>
      </w:pPr>
      <w:r w:rsidRPr="00183434">
        <w:rPr>
          <w:rFonts w:cs="Arial"/>
          <w:sz w:val="23"/>
          <w:szCs w:val="23"/>
        </w:rPr>
        <w:tab/>
      </w:r>
      <w:r w:rsidRPr="00183434">
        <w:rPr>
          <w:rFonts w:cs="Arial"/>
          <w:b/>
          <w:sz w:val="23"/>
          <w:szCs w:val="23"/>
        </w:rPr>
        <w:t>Income &amp; Expenditure Account</w:t>
      </w:r>
    </w:p>
    <w:p w14:paraId="16FEE0AC" w14:textId="77777777" w:rsidR="00386757" w:rsidRPr="00183434" w:rsidRDefault="00386757" w:rsidP="00183434">
      <w:pPr>
        <w:tabs>
          <w:tab w:val="left" w:pos="720"/>
        </w:tabs>
        <w:jc w:val="both"/>
        <w:rPr>
          <w:rFonts w:cs="Arial"/>
          <w:sz w:val="23"/>
          <w:szCs w:val="23"/>
        </w:rPr>
      </w:pPr>
    </w:p>
    <w:p w14:paraId="4AFDE0C7" w14:textId="1F35B042" w:rsidR="008E263C" w:rsidRPr="00183434" w:rsidRDefault="0023632A" w:rsidP="00183434">
      <w:pPr>
        <w:tabs>
          <w:tab w:val="left" w:pos="720"/>
        </w:tabs>
        <w:ind w:left="709"/>
        <w:jc w:val="both"/>
        <w:rPr>
          <w:rFonts w:cs="Arial"/>
          <w:sz w:val="23"/>
          <w:szCs w:val="23"/>
        </w:rPr>
      </w:pPr>
      <w:r w:rsidRPr="00183434">
        <w:rPr>
          <w:rFonts w:cs="Arial"/>
          <w:sz w:val="23"/>
          <w:szCs w:val="23"/>
        </w:rPr>
        <w:object w:dxaOrig="9736" w:dyaOrig="2161" w14:anchorId="54784F5C">
          <v:shape id="_x0000_i1109" type="#_x0000_t75" style="width:432.6pt;height:96.2pt" o:ole="">
            <v:imagedata r:id="rId185" o:title=""/>
          </v:shape>
          <o:OLEObject Type="Link" ProgID="Excel.Sheet.12" ShapeID="_x0000_i1109" DrawAspect="Content" r:id="rId186" UpdateMode="Always">
            <o:LinkType>EnhancedMetaFile</o:LinkType>
            <o:LockedField>false</o:LockedField>
            <o:FieldCodes>\* MERGEFORMAT</o:FieldCodes>
          </o:OLEObject>
        </w:object>
      </w:r>
    </w:p>
    <w:p w14:paraId="08A51846" w14:textId="77777777" w:rsidR="00AE5495" w:rsidRPr="00183434" w:rsidRDefault="00386757" w:rsidP="00183434">
      <w:pPr>
        <w:tabs>
          <w:tab w:val="left" w:pos="720"/>
        </w:tabs>
        <w:jc w:val="both"/>
        <w:rPr>
          <w:rFonts w:cs="Arial"/>
          <w:sz w:val="23"/>
          <w:szCs w:val="23"/>
        </w:rPr>
      </w:pPr>
      <w:r w:rsidRPr="00183434">
        <w:rPr>
          <w:rFonts w:cs="Arial"/>
          <w:sz w:val="23"/>
          <w:szCs w:val="23"/>
        </w:rPr>
        <w:tab/>
      </w:r>
    </w:p>
    <w:p w14:paraId="03FE91CA" w14:textId="77777777" w:rsidR="00E6657E" w:rsidRDefault="00AE5495" w:rsidP="00183434">
      <w:pPr>
        <w:tabs>
          <w:tab w:val="left" w:pos="720"/>
        </w:tabs>
        <w:jc w:val="both"/>
        <w:rPr>
          <w:rFonts w:cs="Arial"/>
          <w:sz w:val="23"/>
          <w:szCs w:val="23"/>
        </w:rPr>
      </w:pPr>
      <w:r w:rsidRPr="00183434">
        <w:rPr>
          <w:rFonts w:cs="Arial"/>
          <w:sz w:val="23"/>
          <w:szCs w:val="23"/>
        </w:rPr>
        <w:tab/>
      </w:r>
    </w:p>
    <w:p w14:paraId="1DB1D8A8" w14:textId="77777777" w:rsidR="00E6657E" w:rsidRDefault="00E6657E">
      <w:pPr>
        <w:rPr>
          <w:rFonts w:cs="Arial"/>
          <w:sz w:val="23"/>
          <w:szCs w:val="23"/>
        </w:rPr>
      </w:pPr>
      <w:r>
        <w:rPr>
          <w:rFonts w:cs="Arial"/>
          <w:sz w:val="23"/>
          <w:szCs w:val="23"/>
        </w:rPr>
        <w:br w:type="page"/>
      </w:r>
    </w:p>
    <w:p w14:paraId="40A0F113" w14:textId="4AD166F8" w:rsidR="00386757" w:rsidRPr="00183434" w:rsidRDefault="00E6657E" w:rsidP="00183434">
      <w:pPr>
        <w:tabs>
          <w:tab w:val="left" w:pos="720"/>
        </w:tabs>
        <w:jc w:val="both"/>
        <w:rPr>
          <w:rFonts w:cs="Arial"/>
          <w:b/>
          <w:sz w:val="23"/>
          <w:szCs w:val="23"/>
        </w:rPr>
      </w:pPr>
      <w:r>
        <w:rPr>
          <w:rFonts w:cs="Arial"/>
          <w:b/>
          <w:sz w:val="23"/>
          <w:szCs w:val="23"/>
        </w:rPr>
        <w:lastRenderedPageBreak/>
        <w:tab/>
      </w:r>
      <w:r w:rsidR="00386757" w:rsidRPr="00183434">
        <w:rPr>
          <w:rFonts w:cs="Arial"/>
          <w:b/>
          <w:sz w:val="23"/>
          <w:szCs w:val="23"/>
        </w:rPr>
        <w:t>Balance Sheet</w:t>
      </w:r>
    </w:p>
    <w:p w14:paraId="6CF3815A" w14:textId="77777777" w:rsidR="0064641E" w:rsidRPr="00183434" w:rsidRDefault="0064641E" w:rsidP="00183434">
      <w:pPr>
        <w:tabs>
          <w:tab w:val="left" w:pos="720"/>
        </w:tabs>
        <w:jc w:val="both"/>
        <w:rPr>
          <w:rFonts w:cs="Arial"/>
          <w:b/>
          <w:sz w:val="23"/>
          <w:szCs w:val="23"/>
        </w:rPr>
      </w:pPr>
    </w:p>
    <w:p w14:paraId="794D2FDA" w14:textId="77777777" w:rsidR="00386757" w:rsidRPr="00183434" w:rsidRDefault="00386757" w:rsidP="00183434">
      <w:pPr>
        <w:tabs>
          <w:tab w:val="left" w:pos="720"/>
        </w:tabs>
        <w:jc w:val="both"/>
        <w:rPr>
          <w:rFonts w:cs="Arial"/>
          <w:b/>
          <w:sz w:val="23"/>
          <w:szCs w:val="23"/>
        </w:rPr>
      </w:pPr>
    </w:p>
    <w:p w14:paraId="2131C91D" w14:textId="72FC0639" w:rsidR="006E7429" w:rsidRPr="00183434" w:rsidRDefault="0023632A" w:rsidP="00183434">
      <w:pPr>
        <w:ind w:left="709"/>
        <w:jc w:val="both"/>
        <w:rPr>
          <w:rFonts w:cs="Arial"/>
          <w:sz w:val="23"/>
          <w:szCs w:val="23"/>
        </w:rPr>
      </w:pPr>
      <w:r w:rsidRPr="00183434">
        <w:rPr>
          <w:rFonts w:cs="Arial"/>
          <w:sz w:val="23"/>
          <w:szCs w:val="23"/>
        </w:rPr>
        <w:object w:dxaOrig="6694" w:dyaOrig="6012" w14:anchorId="3EE54711">
          <v:shape id="_x0000_i1110" type="#_x0000_t75" style="width:334.1pt;height:300.65pt" o:ole="">
            <v:imagedata r:id="rId187" o:title=""/>
          </v:shape>
          <o:OLEObject Type="Link" ProgID="Excel.Sheet.12" ShapeID="_x0000_i1110" DrawAspect="Content" r:id="rId188" UpdateMode="Always">
            <o:LinkType>EnhancedMetaFile</o:LinkType>
            <o:LockedField>false</o:LockedField>
            <o:FieldCodes>\* MERGEFORMAT</o:FieldCodes>
          </o:OLEObject>
        </w:object>
      </w:r>
    </w:p>
    <w:p w14:paraId="0DFD2E63" w14:textId="77777777" w:rsidR="006E7429" w:rsidRPr="00183434" w:rsidRDefault="006E7429" w:rsidP="00183434">
      <w:pPr>
        <w:jc w:val="both"/>
        <w:rPr>
          <w:rFonts w:cs="Arial"/>
          <w:sz w:val="23"/>
          <w:szCs w:val="23"/>
          <w:highlight w:val="cyan"/>
        </w:rPr>
      </w:pPr>
    </w:p>
    <w:p w14:paraId="44E93F11" w14:textId="77777777" w:rsidR="002048F9" w:rsidRPr="00183434" w:rsidRDefault="002048F9" w:rsidP="00183434">
      <w:pPr>
        <w:jc w:val="both"/>
        <w:rPr>
          <w:rFonts w:cs="Arial"/>
          <w:b/>
          <w:sz w:val="23"/>
          <w:szCs w:val="23"/>
          <w:highlight w:val="cyan"/>
        </w:rPr>
      </w:pPr>
    </w:p>
    <w:p w14:paraId="463583A2" w14:textId="77777777" w:rsidR="001034FF" w:rsidRPr="00183434" w:rsidRDefault="001034FF" w:rsidP="00183434">
      <w:pPr>
        <w:jc w:val="both"/>
        <w:rPr>
          <w:rFonts w:cs="Arial"/>
          <w:b/>
          <w:sz w:val="23"/>
          <w:szCs w:val="23"/>
          <w:highlight w:val="cyan"/>
        </w:rPr>
      </w:pPr>
    </w:p>
    <w:p w14:paraId="4325445F" w14:textId="36B7E89C" w:rsidR="00386757" w:rsidRPr="00183434" w:rsidRDefault="00474C36" w:rsidP="00183434">
      <w:pPr>
        <w:jc w:val="both"/>
        <w:rPr>
          <w:rFonts w:cs="Arial"/>
          <w:sz w:val="23"/>
          <w:szCs w:val="23"/>
        </w:rPr>
      </w:pPr>
      <w:r w:rsidRPr="00183434">
        <w:rPr>
          <w:rFonts w:cs="Arial"/>
          <w:b/>
          <w:sz w:val="23"/>
          <w:szCs w:val="23"/>
        </w:rPr>
        <w:t>5</w:t>
      </w:r>
      <w:r w:rsidR="00C00D67" w:rsidRPr="00183434">
        <w:rPr>
          <w:rFonts w:cs="Arial"/>
          <w:b/>
          <w:sz w:val="23"/>
          <w:szCs w:val="23"/>
        </w:rPr>
        <w:t>4</w:t>
      </w:r>
      <w:r w:rsidR="00386757" w:rsidRPr="00183434">
        <w:rPr>
          <w:rFonts w:cs="Arial"/>
          <w:sz w:val="23"/>
          <w:szCs w:val="23"/>
        </w:rPr>
        <w:t>.</w:t>
      </w:r>
      <w:r w:rsidR="00386757" w:rsidRPr="00183434">
        <w:rPr>
          <w:rFonts w:cs="Arial"/>
          <w:sz w:val="23"/>
          <w:szCs w:val="23"/>
        </w:rPr>
        <w:tab/>
        <w:t xml:space="preserve"> </w:t>
      </w:r>
      <w:r w:rsidR="00386757" w:rsidRPr="00183434">
        <w:rPr>
          <w:rFonts w:cs="Arial"/>
          <w:b/>
          <w:sz w:val="23"/>
          <w:szCs w:val="23"/>
          <w:u w:val="single"/>
        </w:rPr>
        <w:t>CONTINGENT LIABILITIES</w:t>
      </w:r>
    </w:p>
    <w:p w14:paraId="07BCB826" w14:textId="77777777" w:rsidR="00921B0E" w:rsidRPr="00183434" w:rsidRDefault="00921B0E" w:rsidP="00183434">
      <w:pPr>
        <w:jc w:val="both"/>
        <w:rPr>
          <w:rFonts w:cs="Arial"/>
          <w:sz w:val="23"/>
          <w:szCs w:val="23"/>
        </w:rPr>
      </w:pPr>
    </w:p>
    <w:p w14:paraId="6DF12FCA" w14:textId="77777777" w:rsidR="002530EB" w:rsidRPr="00183434" w:rsidRDefault="002530EB" w:rsidP="00183434">
      <w:pPr>
        <w:jc w:val="both"/>
        <w:rPr>
          <w:rFonts w:cs="Arial"/>
          <w:sz w:val="23"/>
          <w:szCs w:val="23"/>
        </w:rPr>
      </w:pPr>
    </w:p>
    <w:p w14:paraId="58C35C1B" w14:textId="77777777" w:rsidR="00921B0E" w:rsidRPr="00183434" w:rsidRDefault="00921B0E" w:rsidP="00183434">
      <w:pPr>
        <w:ind w:left="720"/>
        <w:jc w:val="both"/>
        <w:rPr>
          <w:rFonts w:cs="Arial"/>
          <w:sz w:val="23"/>
          <w:szCs w:val="23"/>
          <w:u w:val="single"/>
        </w:rPr>
      </w:pPr>
      <w:r w:rsidRPr="00183434">
        <w:rPr>
          <w:rFonts w:cs="Arial"/>
          <w:sz w:val="23"/>
          <w:szCs w:val="23"/>
          <w:u w:val="single"/>
        </w:rPr>
        <w:t>NNDR Appeals</w:t>
      </w:r>
    </w:p>
    <w:p w14:paraId="59B15E3C" w14:textId="77777777" w:rsidR="00386757" w:rsidRPr="00183434" w:rsidRDefault="00386757" w:rsidP="00183434">
      <w:pPr>
        <w:ind w:left="720"/>
        <w:jc w:val="both"/>
        <w:rPr>
          <w:rFonts w:cs="Arial"/>
          <w:sz w:val="23"/>
          <w:szCs w:val="23"/>
        </w:rPr>
      </w:pPr>
      <w:r w:rsidRPr="00183434">
        <w:rPr>
          <w:rFonts w:cs="Arial"/>
          <w:sz w:val="23"/>
          <w:szCs w:val="23"/>
        </w:rPr>
        <w:t xml:space="preserve"> </w:t>
      </w:r>
    </w:p>
    <w:p w14:paraId="04790941" w14:textId="1089C153" w:rsidR="00386757" w:rsidRPr="00183434" w:rsidRDefault="00796BD8" w:rsidP="00183434">
      <w:pPr>
        <w:ind w:left="720"/>
        <w:jc w:val="both"/>
        <w:rPr>
          <w:rFonts w:cs="Arial"/>
          <w:sz w:val="23"/>
          <w:szCs w:val="23"/>
        </w:rPr>
      </w:pPr>
      <w:r w:rsidRPr="00183434">
        <w:rPr>
          <w:rFonts w:cs="Arial"/>
          <w:sz w:val="23"/>
          <w:szCs w:val="23"/>
        </w:rPr>
        <w:t>The Collection Fund account includes a provision for appeals against business rate valuation assessments which were lodged by 31</w:t>
      </w:r>
      <w:r w:rsidRPr="00183434">
        <w:rPr>
          <w:rFonts w:cs="Arial"/>
          <w:sz w:val="23"/>
          <w:szCs w:val="23"/>
          <w:vertAlign w:val="superscript"/>
        </w:rPr>
        <w:t>st</w:t>
      </w:r>
      <w:r w:rsidR="00AC3644" w:rsidRPr="00183434">
        <w:rPr>
          <w:rFonts w:cs="Arial"/>
          <w:sz w:val="23"/>
          <w:szCs w:val="23"/>
        </w:rPr>
        <w:t xml:space="preserve"> March 20</w:t>
      </w:r>
      <w:r w:rsidR="00ED53BF" w:rsidRPr="00183434">
        <w:rPr>
          <w:rFonts w:cs="Arial"/>
          <w:sz w:val="23"/>
          <w:szCs w:val="23"/>
        </w:rPr>
        <w:t>2</w:t>
      </w:r>
      <w:r w:rsidR="00EA4C32" w:rsidRPr="00183434">
        <w:rPr>
          <w:rFonts w:cs="Arial"/>
          <w:sz w:val="23"/>
          <w:szCs w:val="23"/>
        </w:rPr>
        <w:t>6</w:t>
      </w:r>
      <w:r w:rsidR="00C34F6D" w:rsidRPr="00183434">
        <w:rPr>
          <w:rFonts w:cs="Arial"/>
          <w:sz w:val="23"/>
          <w:szCs w:val="23"/>
        </w:rPr>
        <w:t>. F</w:t>
      </w:r>
      <w:r w:rsidRPr="00183434">
        <w:rPr>
          <w:rFonts w:cs="Arial"/>
          <w:sz w:val="23"/>
          <w:szCs w:val="23"/>
        </w:rPr>
        <w:t>urther</w:t>
      </w:r>
      <w:r w:rsidR="00C34F6D" w:rsidRPr="00183434">
        <w:rPr>
          <w:rFonts w:cs="Arial"/>
          <w:sz w:val="23"/>
          <w:szCs w:val="23"/>
        </w:rPr>
        <w:t xml:space="preserve"> </w:t>
      </w:r>
      <w:r w:rsidRPr="00183434">
        <w:rPr>
          <w:rFonts w:cs="Arial"/>
          <w:sz w:val="23"/>
          <w:szCs w:val="23"/>
        </w:rPr>
        <w:t xml:space="preserve">appeals </w:t>
      </w:r>
      <w:r w:rsidR="0055563E" w:rsidRPr="00183434">
        <w:rPr>
          <w:rFonts w:cs="Arial"/>
          <w:sz w:val="23"/>
          <w:szCs w:val="23"/>
        </w:rPr>
        <w:t>against valuations</w:t>
      </w:r>
      <w:r w:rsidR="00C34F6D" w:rsidRPr="00183434">
        <w:rPr>
          <w:rFonts w:cs="Arial"/>
          <w:sz w:val="23"/>
          <w:szCs w:val="23"/>
        </w:rPr>
        <w:t xml:space="preserve"> may be received in future years. </w:t>
      </w:r>
      <w:r w:rsidR="00191EA3" w:rsidRPr="00183434">
        <w:rPr>
          <w:rFonts w:cs="Arial"/>
          <w:sz w:val="23"/>
          <w:szCs w:val="23"/>
        </w:rPr>
        <w:t>The value of t</w:t>
      </w:r>
      <w:r w:rsidR="00DC5D7B" w:rsidRPr="00183434">
        <w:rPr>
          <w:rFonts w:cs="Arial"/>
          <w:sz w:val="23"/>
          <w:szCs w:val="23"/>
        </w:rPr>
        <w:t>he</w:t>
      </w:r>
      <w:r w:rsidR="00121E70" w:rsidRPr="00183434">
        <w:rPr>
          <w:rFonts w:cs="Arial"/>
          <w:sz w:val="23"/>
          <w:szCs w:val="23"/>
        </w:rPr>
        <w:t xml:space="preserve"> liability cannot be estimated for unknown claims which have not yet been received</w:t>
      </w:r>
      <w:r w:rsidR="00191EA3" w:rsidRPr="00183434">
        <w:rPr>
          <w:rFonts w:cs="Arial"/>
          <w:sz w:val="23"/>
          <w:szCs w:val="23"/>
        </w:rPr>
        <w:t>.</w:t>
      </w:r>
    </w:p>
    <w:p w14:paraId="3264B3D8" w14:textId="77777777" w:rsidR="002530EB" w:rsidRPr="00183434" w:rsidRDefault="002530EB" w:rsidP="00183434">
      <w:pPr>
        <w:ind w:left="720"/>
        <w:jc w:val="both"/>
        <w:rPr>
          <w:rFonts w:cs="Arial"/>
          <w:sz w:val="23"/>
          <w:szCs w:val="23"/>
        </w:rPr>
      </w:pPr>
    </w:p>
    <w:p w14:paraId="5C5425E8" w14:textId="77777777" w:rsidR="002048F9" w:rsidRPr="00183434" w:rsidRDefault="002048F9" w:rsidP="00183434">
      <w:pPr>
        <w:ind w:left="720"/>
        <w:jc w:val="both"/>
        <w:rPr>
          <w:rFonts w:cs="Arial"/>
          <w:sz w:val="23"/>
          <w:szCs w:val="23"/>
          <w:highlight w:val="cyan"/>
        </w:rPr>
      </w:pPr>
    </w:p>
    <w:p w14:paraId="233F1737" w14:textId="77777777" w:rsidR="00921B0E" w:rsidRPr="00183434" w:rsidRDefault="00921B0E" w:rsidP="00183434">
      <w:pPr>
        <w:ind w:left="720"/>
        <w:jc w:val="both"/>
        <w:rPr>
          <w:rFonts w:cs="Arial"/>
          <w:sz w:val="23"/>
          <w:szCs w:val="23"/>
          <w:u w:val="single"/>
        </w:rPr>
      </w:pPr>
      <w:r w:rsidRPr="00183434">
        <w:rPr>
          <w:rFonts w:cs="Arial"/>
          <w:sz w:val="23"/>
          <w:szCs w:val="23"/>
          <w:u w:val="single"/>
        </w:rPr>
        <w:t>Municipal Mutual Insurance</w:t>
      </w:r>
    </w:p>
    <w:p w14:paraId="466A5BF7" w14:textId="77777777" w:rsidR="00921B0E" w:rsidRPr="00183434" w:rsidRDefault="00921B0E" w:rsidP="00183434">
      <w:pPr>
        <w:ind w:left="720"/>
        <w:jc w:val="both"/>
        <w:rPr>
          <w:rFonts w:cs="Arial"/>
          <w:sz w:val="23"/>
          <w:szCs w:val="23"/>
        </w:rPr>
      </w:pPr>
    </w:p>
    <w:p w14:paraId="7956FB67" w14:textId="77777777" w:rsidR="00386757" w:rsidRPr="00183434" w:rsidRDefault="00921B0E" w:rsidP="00183434">
      <w:pPr>
        <w:ind w:left="720"/>
        <w:jc w:val="both"/>
        <w:rPr>
          <w:rFonts w:cs="Arial"/>
          <w:sz w:val="23"/>
          <w:szCs w:val="23"/>
        </w:rPr>
      </w:pPr>
      <w:r w:rsidRPr="00183434">
        <w:rPr>
          <w:rFonts w:cs="Arial"/>
          <w:sz w:val="23"/>
          <w:szCs w:val="23"/>
        </w:rPr>
        <w:t>The Scheme of Arrangement was enacted in 2012/13. The liability on the Council as a scheme creditor cannot be fully estimated at this stage for unknown claims incurred but not yet reported. Whilst the Council has considered the financial impact in producing the Statement of Accounts, there is a risk that the Council’s financial liability could increase from this level.</w:t>
      </w:r>
    </w:p>
    <w:p w14:paraId="18F7951B" w14:textId="77777777" w:rsidR="00971FCD" w:rsidRPr="00183434" w:rsidRDefault="00971FCD" w:rsidP="00183434">
      <w:pPr>
        <w:ind w:left="720"/>
        <w:jc w:val="both"/>
        <w:rPr>
          <w:rFonts w:cs="Arial"/>
          <w:sz w:val="23"/>
          <w:szCs w:val="23"/>
        </w:rPr>
      </w:pPr>
    </w:p>
    <w:p w14:paraId="6D1FFBDB" w14:textId="77777777" w:rsidR="00971FCD" w:rsidRPr="00183434" w:rsidRDefault="00971FCD" w:rsidP="00183434">
      <w:pPr>
        <w:ind w:firstLine="720"/>
        <w:jc w:val="both"/>
        <w:rPr>
          <w:rFonts w:cs="Arial"/>
          <w:sz w:val="23"/>
          <w:szCs w:val="23"/>
          <w:u w:val="single"/>
        </w:rPr>
      </w:pPr>
      <w:r w:rsidRPr="00183434">
        <w:rPr>
          <w:rFonts w:cs="Arial"/>
          <w:sz w:val="23"/>
          <w:szCs w:val="23"/>
          <w:u w:val="single"/>
        </w:rPr>
        <w:t>Water Charges</w:t>
      </w:r>
    </w:p>
    <w:p w14:paraId="7F0DF299" w14:textId="77777777" w:rsidR="00971FCD" w:rsidRPr="00183434" w:rsidRDefault="00971FCD" w:rsidP="00183434">
      <w:pPr>
        <w:ind w:firstLine="720"/>
        <w:jc w:val="both"/>
        <w:rPr>
          <w:rFonts w:cs="Arial"/>
          <w:sz w:val="23"/>
          <w:szCs w:val="23"/>
        </w:rPr>
      </w:pPr>
    </w:p>
    <w:p w14:paraId="5520C31A" w14:textId="77777777" w:rsidR="00971FCD" w:rsidRPr="00183434" w:rsidRDefault="00971FCD" w:rsidP="00183434">
      <w:pPr>
        <w:autoSpaceDE w:val="0"/>
        <w:autoSpaceDN w:val="0"/>
        <w:adjustRightInd w:val="0"/>
        <w:ind w:left="720"/>
        <w:jc w:val="both"/>
        <w:rPr>
          <w:rFonts w:cs="Arial"/>
          <w:sz w:val="23"/>
          <w:szCs w:val="23"/>
          <w:lang w:val="en-US"/>
        </w:rPr>
      </w:pPr>
      <w:r w:rsidRPr="00183434">
        <w:rPr>
          <w:rFonts w:cs="Arial"/>
          <w:color w:val="000000"/>
          <w:sz w:val="23"/>
          <w:szCs w:val="23"/>
        </w:rPr>
        <w:t xml:space="preserve">On 29 November 2019 the High Court handed down judgment in the case of </w:t>
      </w:r>
      <w:r w:rsidRPr="00183434">
        <w:rPr>
          <w:rFonts w:cs="Arial"/>
          <w:i/>
          <w:color w:val="000000"/>
          <w:sz w:val="23"/>
          <w:szCs w:val="23"/>
        </w:rPr>
        <w:t xml:space="preserve">Royal Borough of Kingston upon Thames v Moss (2019). </w:t>
      </w:r>
      <w:r w:rsidRPr="00183434">
        <w:rPr>
          <w:rFonts w:cs="Arial"/>
          <w:color w:val="000000"/>
          <w:sz w:val="23"/>
          <w:szCs w:val="23"/>
        </w:rPr>
        <w:t xml:space="preserve">This judgment impacts on social housing landlords who resold water and sewage services to its tenants for the purposes of the Water Industry Act 1991 under an agreement. Until 31 March 2018, the Council had such an agreement with Severn Trent Water Authority (STWA). </w:t>
      </w:r>
      <w:r w:rsidRPr="00183434">
        <w:rPr>
          <w:rFonts w:cs="Arial"/>
          <w:sz w:val="23"/>
          <w:szCs w:val="23"/>
          <w:lang w:val="en-US"/>
        </w:rPr>
        <w:t xml:space="preserve">The High Court’s </w:t>
      </w:r>
      <w:proofErr w:type="gramStart"/>
      <w:r w:rsidRPr="00183434">
        <w:rPr>
          <w:rFonts w:cs="Arial"/>
          <w:sz w:val="23"/>
          <w:szCs w:val="23"/>
          <w:lang w:val="en-US"/>
        </w:rPr>
        <w:lastRenderedPageBreak/>
        <w:t>decision was</w:t>
      </w:r>
      <w:proofErr w:type="gramEnd"/>
      <w:r w:rsidRPr="00183434">
        <w:rPr>
          <w:rFonts w:cs="Arial"/>
          <w:sz w:val="23"/>
          <w:szCs w:val="23"/>
          <w:lang w:val="en-US"/>
        </w:rPr>
        <w:t xml:space="preserve"> subsequently appealed to the Court of Appeal. The judgment of the Court of Appeal in the </w:t>
      </w:r>
      <w:r w:rsidRPr="00183434">
        <w:rPr>
          <w:rFonts w:cs="Arial"/>
          <w:i/>
          <w:color w:val="000000"/>
          <w:sz w:val="23"/>
          <w:szCs w:val="23"/>
        </w:rPr>
        <w:t xml:space="preserve">Royal Borough of Kingston upon Thames v Moss </w:t>
      </w:r>
      <w:r w:rsidRPr="00183434">
        <w:rPr>
          <w:rFonts w:cs="Arial"/>
          <w:i/>
          <w:sz w:val="23"/>
          <w:szCs w:val="23"/>
          <w:lang w:val="en-US"/>
        </w:rPr>
        <w:t>[</w:t>
      </w:r>
      <w:r w:rsidRPr="00183434">
        <w:rPr>
          <w:rFonts w:cs="Arial"/>
          <w:sz w:val="23"/>
          <w:szCs w:val="23"/>
          <w:lang w:val="en-US"/>
        </w:rPr>
        <w:t xml:space="preserve">2020] was published on 27th October 2020. The result of that case is that Kingston lost its appeal to the Court of Appeal over the earlier High Court ruling that it overcharged tenants for water. </w:t>
      </w:r>
    </w:p>
    <w:p w14:paraId="64E9AF75" w14:textId="77777777" w:rsidR="00971FCD" w:rsidRPr="00183434" w:rsidRDefault="00971FCD" w:rsidP="00183434">
      <w:pPr>
        <w:autoSpaceDE w:val="0"/>
        <w:autoSpaceDN w:val="0"/>
        <w:adjustRightInd w:val="0"/>
        <w:jc w:val="both"/>
        <w:rPr>
          <w:rFonts w:cs="Arial"/>
          <w:sz w:val="23"/>
          <w:szCs w:val="23"/>
        </w:rPr>
      </w:pPr>
    </w:p>
    <w:p w14:paraId="73FD14BC" w14:textId="485A7304" w:rsidR="00971FCD" w:rsidRPr="00183434" w:rsidRDefault="00971FCD" w:rsidP="00183434">
      <w:pPr>
        <w:ind w:left="720"/>
        <w:jc w:val="both"/>
        <w:rPr>
          <w:rFonts w:cs="Arial"/>
          <w:sz w:val="23"/>
          <w:szCs w:val="23"/>
        </w:rPr>
      </w:pPr>
      <w:r w:rsidRPr="00183434">
        <w:rPr>
          <w:rFonts w:cs="Arial"/>
          <w:sz w:val="23"/>
          <w:szCs w:val="23"/>
          <w:lang w:val="en-US"/>
        </w:rPr>
        <w:t>As a result of this judgement</w:t>
      </w:r>
      <w:r w:rsidR="002110D8" w:rsidRPr="00183434">
        <w:rPr>
          <w:rFonts w:cs="Arial"/>
          <w:sz w:val="23"/>
          <w:szCs w:val="23"/>
          <w:lang w:val="en-US"/>
        </w:rPr>
        <w:t>,</w:t>
      </w:r>
      <w:r w:rsidRPr="00183434">
        <w:rPr>
          <w:rFonts w:cs="Arial"/>
          <w:sz w:val="23"/>
          <w:szCs w:val="23"/>
          <w:lang w:val="en-US"/>
        </w:rPr>
        <w:t xml:space="preserve"> it is likely that the Council is bound by the maximum charges provisions of the Water Resale Orders 2001 and 2006, it will have charged tenants sums </w:t>
      </w:r>
      <w:proofErr w:type="gramStart"/>
      <w:r w:rsidRPr="00183434">
        <w:rPr>
          <w:rFonts w:cs="Arial"/>
          <w:sz w:val="23"/>
          <w:szCs w:val="23"/>
          <w:lang w:val="en-US"/>
        </w:rPr>
        <w:t>in excess of</w:t>
      </w:r>
      <w:proofErr w:type="gramEnd"/>
      <w:r w:rsidRPr="00183434">
        <w:rPr>
          <w:rFonts w:cs="Arial"/>
          <w:sz w:val="23"/>
          <w:szCs w:val="23"/>
          <w:lang w:val="en-US"/>
        </w:rPr>
        <w:t xml:space="preserve"> the maximum charges and tenants will have a right to recover overpayments of charges. The estimated liability </w:t>
      </w:r>
      <w:proofErr w:type="gramStart"/>
      <w:r w:rsidRPr="00183434">
        <w:rPr>
          <w:rFonts w:cs="Arial"/>
          <w:sz w:val="23"/>
          <w:szCs w:val="23"/>
          <w:lang w:val="en-US"/>
        </w:rPr>
        <w:t>at</w:t>
      </w:r>
      <w:proofErr w:type="gramEnd"/>
      <w:r w:rsidRPr="00183434">
        <w:rPr>
          <w:rFonts w:cs="Arial"/>
          <w:sz w:val="23"/>
          <w:szCs w:val="23"/>
          <w:lang w:val="en-US"/>
        </w:rPr>
        <w:t xml:space="preserve"> 31 March 202</w:t>
      </w:r>
      <w:r w:rsidR="00EA4C32" w:rsidRPr="00183434">
        <w:rPr>
          <w:rFonts w:cs="Arial"/>
          <w:sz w:val="23"/>
          <w:szCs w:val="23"/>
          <w:lang w:val="en-US"/>
        </w:rPr>
        <w:t>6</w:t>
      </w:r>
      <w:r w:rsidRPr="00183434">
        <w:rPr>
          <w:rFonts w:cs="Arial"/>
          <w:sz w:val="23"/>
          <w:szCs w:val="23"/>
          <w:lang w:val="en-US"/>
        </w:rPr>
        <w:t xml:space="preserve"> for the refund of these earlier years’ charges is a provision of around £0.9m. This is not regarded as material in value and the provision has not been included in the 20</w:t>
      </w:r>
      <w:r w:rsidR="002530EB" w:rsidRPr="00183434">
        <w:rPr>
          <w:rFonts w:cs="Arial"/>
          <w:sz w:val="23"/>
          <w:szCs w:val="23"/>
          <w:lang w:val="en-US"/>
        </w:rPr>
        <w:t>2</w:t>
      </w:r>
      <w:r w:rsidR="00EA4C32" w:rsidRPr="00183434">
        <w:rPr>
          <w:rFonts w:cs="Arial"/>
          <w:sz w:val="23"/>
          <w:szCs w:val="23"/>
          <w:lang w:val="en-US"/>
        </w:rPr>
        <w:t>5</w:t>
      </w:r>
      <w:r w:rsidRPr="00183434">
        <w:rPr>
          <w:rFonts w:cs="Arial"/>
          <w:sz w:val="23"/>
          <w:szCs w:val="23"/>
          <w:lang w:val="en-US"/>
        </w:rPr>
        <w:t>/2</w:t>
      </w:r>
      <w:r w:rsidR="00EA4C32" w:rsidRPr="00183434">
        <w:rPr>
          <w:rFonts w:cs="Arial"/>
          <w:sz w:val="23"/>
          <w:szCs w:val="23"/>
          <w:lang w:val="en-US"/>
        </w:rPr>
        <w:t>6</w:t>
      </w:r>
      <w:r w:rsidRPr="00183434">
        <w:rPr>
          <w:rFonts w:cs="Arial"/>
          <w:sz w:val="23"/>
          <w:szCs w:val="23"/>
          <w:lang w:val="en-US"/>
        </w:rPr>
        <w:t xml:space="preserve"> Financial Statements.</w:t>
      </w:r>
    </w:p>
    <w:p w14:paraId="4F116C74" w14:textId="77777777" w:rsidR="00E31586" w:rsidRPr="00183434" w:rsidRDefault="00E31586" w:rsidP="00183434">
      <w:pPr>
        <w:ind w:left="720"/>
        <w:jc w:val="both"/>
        <w:rPr>
          <w:rFonts w:cs="Arial"/>
          <w:sz w:val="23"/>
          <w:szCs w:val="23"/>
          <w:highlight w:val="cyan"/>
        </w:rPr>
      </w:pPr>
    </w:p>
    <w:p w14:paraId="6A7A773A" w14:textId="77777777" w:rsidR="00CB3458" w:rsidRPr="00183434" w:rsidRDefault="00CB3458" w:rsidP="00183434">
      <w:pPr>
        <w:jc w:val="both"/>
        <w:rPr>
          <w:rFonts w:cs="Arial"/>
          <w:sz w:val="23"/>
          <w:szCs w:val="23"/>
          <w:highlight w:val="cyan"/>
        </w:rPr>
      </w:pPr>
    </w:p>
    <w:p w14:paraId="773CEB25" w14:textId="77777777" w:rsidR="002530EB" w:rsidRPr="00183434" w:rsidRDefault="002530EB" w:rsidP="00183434">
      <w:pPr>
        <w:jc w:val="both"/>
        <w:rPr>
          <w:rFonts w:cs="Arial"/>
          <w:sz w:val="23"/>
          <w:szCs w:val="23"/>
          <w:highlight w:val="cyan"/>
        </w:rPr>
      </w:pPr>
    </w:p>
    <w:p w14:paraId="7715ED0A" w14:textId="77777777" w:rsidR="002530EB" w:rsidRPr="00183434" w:rsidRDefault="002530EB" w:rsidP="00183434">
      <w:pPr>
        <w:jc w:val="both"/>
        <w:rPr>
          <w:rFonts w:cs="Arial"/>
          <w:sz w:val="23"/>
          <w:szCs w:val="23"/>
          <w:highlight w:val="cyan"/>
        </w:rPr>
      </w:pPr>
    </w:p>
    <w:p w14:paraId="1F33898D" w14:textId="77777777" w:rsidR="002530EB" w:rsidRPr="00183434" w:rsidRDefault="002530EB" w:rsidP="00183434">
      <w:pPr>
        <w:jc w:val="both"/>
        <w:rPr>
          <w:rFonts w:cs="Arial"/>
          <w:sz w:val="23"/>
          <w:szCs w:val="23"/>
          <w:highlight w:val="cyan"/>
        </w:rPr>
      </w:pPr>
    </w:p>
    <w:p w14:paraId="1730B5E0" w14:textId="77777777" w:rsidR="002048F9" w:rsidRPr="00183434" w:rsidRDefault="002048F9" w:rsidP="00183434">
      <w:pPr>
        <w:jc w:val="both"/>
        <w:rPr>
          <w:rFonts w:cs="Arial"/>
          <w:sz w:val="23"/>
          <w:szCs w:val="23"/>
          <w:highlight w:val="cyan"/>
        </w:rPr>
      </w:pPr>
    </w:p>
    <w:p w14:paraId="42BE0913" w14:textId="77777777" w:rsidR="002048F9" w:rsidRPr="00183434" w:rsidRDefault="002048F9" w:rsidP="00183434">
      <w:pPr>
        <w:jc w:val="both"/>
        <w:rPr>
          <w:rFonts w:cs="Arial"/>
          <w:sz w:val="23"/>
          <w:szCs w:val="23"/>
          <w:highlight w:val="cyan"/>
        </w:rPr>
      </w:pPr>
    </w:p>
    <w:p w14:paraId="0F6EE84F" w14:textId="77777777" w:rsidR="002048F9" w:rsidRPr="00183434" w:rsidRDefault="002048F9" w:rsidP="00183434">
      <w:pPr>
        <w:jc w:val="both"/>
        <w:rPr>
          <w:rFonts w:cs="Arial"/>
          <w:sz w:val="23"/>
          <w:szCs w:val="23"/>
          <w:highlight w:val="cyan"/>
        </w:rPr>
      </w:pPr>
    </w:p>
    <w:p w14:paraId="2CD2E057" w14:textId="77777777" w:rsidR="002048F9" w:rsidRPr="00183434" w:rsidRDefault="002048F9" w:rsidP="00183434">
      <w:pPr>
        <w:jc w:val="both"/>
        <w:rPr>
          <w:rFonts w:cs="Arial"/>
          <w:sz w:val="23"/>
          <w:szCs w:val="23"/>
          <w:highlight w:val="cyan"/>
        </w:rPr>
      </w:pPr>
    </w:p>
    <w:p w14:paraId="30F52194" w14:textId="77777777" w:rsidR="002048F9" w:rsidRPr="00183434" w:rsidRDefault="002048F9" w:rsidP="00183434">
      <w:pPr>
        <w:jc w:val="both"/>
        <w:rPr>
          <w:rFonts w:cs="Arial"/>
          <w:sz w:val="23"/>
          <w:szCs w:val="23"/>
          <w:highlight w:val="cyan"/>
        </w:rPr>
      </w:pPr>
    </w:p>
    <w:p w14:paraId="4715F88B" w14:textId="77777777" w:rsidR="002048F9" w:rsidRPr="00183434" w:rsidRDefault="002048F9" w:rsidP="00183434">
      <w:pPr>
        <w:jc w:val="both"/>
        <w:rPr>
          <w:rFonts w:cs="Arial"/>
          <w:sz w:val="23"/>
          <w:szCs w:val="23"/>
          <w:highlight w:val="cyan"/>
        </w:rPr>
      </w:pPr>
    </w:p>
    <w:p w14:paraId="30ECB4CE" w14:textId="77777777" w:rsidR="002048F9" w:rsidRPr="00183434" w:rsidRDefault="002048F9" w:rsidP="00183434">
      <w:pPr>
        <w:jc w:val="both"/>
        <w:rPr>
          <w:rFonts w:cs="Arial"/>
          <w:sz w:val="23"/>
          <w:szCs w:val="23"/>
          <w:highlight w:val="cyan"/>
        </w:rPr>
      </w:pPr>
    </w:p>
    <w:p w14:paraId="03E1012E" w14:textId="77777777" w:rsidR="002048F9" w:rsidRPr="00183434" w:rsidRDefault="002048F9" w:rsidP="00183434">
      <w:pPr>
        <w:jc w:val="both"/>
        <w:rPr>
          <w:rFonts w:cs="Arial"/>
          <w:sz w:val="23"/>
          <w:szCs w:val="23"/>
          <w:highlight w:val="cyan"/>
        </w:rPr>
      </w:pPr>
    </w:p>
    <w:p w14:paraId="69F6F9FB" w14:textId="77777777" w:rsidR="002048F9" w:rsidRPr="00183434" w:rsidRDefault="002048F9" w:rsidP="00183434">
      <w:pPr>
        <w:jc w:val="both"/>
        <w:rPr>
          <w:rFonts w:cs="Arial"/>
          <w:sz w:val="23"/>
          <w:szCs w:val="23"/>
          <w:highlight w:val="cyan"/>
        </w:rPr>
      </w:pPr>
    </w:p>
    <w:p w14:paraId="42E0FBD5" w14:textId="77777777" w:rsidR="00AE5495" w:rsidRPr="00183434" w:rsidRDefault="00AE5495" w:rsidP="00183434">
      <w:pPr>
        <w:jc w:val="both"/>
        <w:rPr>
          <w:rFonts w:cs="Arial"/>
          <w:sz w:val="23"/>
          <w:szCs w:val="23"/>
          <w:highlight w:val="cyan"/>
        </w:rPr>
      </w:pPr>
    </w:p>
    <w:p w14:paraId="4C29F890" w14:textId="77777777" w:rsidR="00AE5495" w:rsidRPr="00183434" w:rsidRDefault="00AE5495" w:rsidP="00183434">
      <w:pPr>
        <w:jc w:val="both"/>
        <w:rPr>
          <w:rFonts w:cs="Arial"/>
          <w:sz w:val="23"/>
          <w:szCs w:val="23"/>
          <w:highlight w:val="cyan"/>
        </w:rPr>
      </w:pPr>
    </w:p>
    <w:p w14:paraId="589ED9D7" w14:textId="77777777" w:rsidR="00E6657E" w:rsidRDefault="00E6657E">
      <w:pPr>
        <w:rPr>
          <w:rFonts w:cs="Arial"/>
          <w:b/>
          <w:spacing w:val="-3"/>
          <w:sz w:val="23"/>
          <w:szCs w:val="23"/>
          <w:u w:val="single"/>
        </w:rPr>
      </w:pPr>
      <w:r>
        <w:rPr>
          <w:rFonts w:cs="Arial"/>
          <w:b/>
          <w:spacing w:val="-3"/>
          <w:sz w:val="23"/>
          <w:szCs w:val="23"/>
          <w:u w:val="single"/>
        </w:rPr>
        <w:br w:type="page"/>
      </w:r>
    </w:p>
    <w:p w14:paraId="36A69112" w14:textId="5E680BF0" w:rsidR="00386757" w:rsidRPr="00183434" w:rsidRDefault="00386757" w:rsidP="00183434">
      <w:pPr>
        <w:tabs>
          <w:tab w:val="center" w:pos="4945"/>
        </w:tabs>
        <w:suppressAutoHyphens/>
        <w:jc w:val="both"/>
        <w:rPr>
          <w:rFonts w:cs="Arial"/>
          <w:spacing w:val="-3"/>
          <w:sz w:val="23"/>
          <w:szCs w:val="23"/>
        </w:rPr>
      </w:pPr>
      <w:r w:rsidRPr="00183434">
        <w:rPr>
          <w:rFonts w:cs="Arial"/>
          <w:b/>
          <w:spacing w:val="-3"/>
          <w:sz w:val="23"/>
          <w:szCs w:val="23"/>
          <w:u w:val="single"/>
        </w:rPr>
        <w:lastRenderedPageBreak/>
        <w:t>HOUSING REVENUE ACCOUNT (HRA) INCOME &amp; EXPENDITURE STATEMENT</w:t>
      </w:r>
      <w:r w:rsidRPr="00183434">
        <w:rPr>
          <w:rFonts w:cs="Arial"/>
          <w:spacing w:val="-3"/>
          <w:sz w:val="23"/>
          <w:szCs w:val="23"/>
        </w:rPr>
        <w:fldChar w:fldCharType="begin"/>
      </w:r>
      <w:r w:rsidRPr="00183434">
        <w:rPr>
          <w:rFonts w:cs="Arial"/>
          <w:spacing w:val="-3"/>
          <w:sz w:val="23"/>
          <w:szCs w:val="23"/>
        </w:rPr>
        <w:instrText xml:space="preserve">PRIVATE </w:instrText>
      </w:r>
      <w:r w:rsidRPr="00183434">
        <w:rPr>
          <w:rFonts w:cs="Arial"/>
          <w:spacing w:val="-3"/>
          <w:sz w:val="23"/>
          <w:szCs w:val="23"/>
        </w:rPr>
        <w:fldChar w:fldCharType="end"/>
      </w:r>
    </w:p>
    <w:p w14:paraId="2F183A5A" w14:textId="77777777" w:rsidR="00C0481F" w:rsidRPr="00183434" w:rsidRDefault="00C0481F"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3"/>
          <w:szCs w:val="23"/>
        </w:rPr>
      </w:pPr>
    </w:p>
    <w:p w14:paraId="4F836E3A"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3"/>
          <w:szCs w:val="23"/>
        </w:rPr>
      </w:pPr>
    </w:p>
    <w:p w14:paraId="0028979E"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3"/>
          <w:sz w:val="23"/>
          <w:szCs w:val="23"/>
        </w:rPr>
      </w:pPr>
      <w:r w:rsidRPr="00183434">
        <w:rPr>
          <w:rFonts w:cs="Arial"/>
          <w:spacing w:val="-3"/>
          <w:sz w:val="23"/>
          <w:szCs w:val="23"/>
        </w:rPr>
        <w:t>The HRA Income and Expenditure Statement shows the economic cost in the year of providing housing services in accordance with generally accepted accounting practices, rather than the amount to be funded from rents and government grants.</w:t>
      </w:r>
    </w:p>
    <w:p w14:paraId="304D3522"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3"/>
          <w:sz w:val="23"/>
          <w:szCs w:val="23"/>
        </w:rPr>
      </w:pPr>
      <w:r w:rsidRPr="00183434">
        <w:rPr>
          <w:rFonts w:cs="Arial"/>
          <w:spacing w:val="-3"/>
          <w:sz w:val="23"/>
          <w:szCs w:val="23"/>
        </w:rPr>
        <w:t xml:space="preserve">Authorities charge rents to cover expenditure in accordance with the legislative framework; this may be different from the accounting cost. </w:t>
      </w:r>
    </w:p>
    <w:p w14:paraId="1CFC1DB1"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3"/>
          <w:sz w:val="23"/>
          <w:szCs w:val="23"/>
        </w:rPr>
      </w:pPr>
    </w:p>
    <w:p w14:paraId="0F0BC3FB" w14:textId="77777777" w:rsidR="00386757"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3"/>
          <w:sz w:val="23"/>
          <w:szCs w:val="23"/>
        </w:rPr>
      </w:pPr>
      <w:r w:rsidRPr="00183434">
        <w:rPr>
          <w:rFonts w:cs="Arial"/>
          <w:spacing w:val="-3"/>
          <w:sz w:val="23"/>
          <w:szCs w:val="23"/>
        </w:rPr>
        <w:t xml:space="preserve">The increase or decrease in the year, </w:t>
      </w:r>
      <w:proofErr w:type="gramStart"/>
      <w:r w:rsidRPr="00183434">
        <w:rPr>
          <w:rFonts w:cs="Arial"/>
          <w:spacing w:val="-3"/>
          <w:sz w:val="23"/>
          <w:szCs w:val="23"/>
        </w:rPr>
        <w:t>on the basis of</w:t>
      </w:r>
      <w:proofErr w:type="gramEnd"/>
      <w:r w:rsidRPr="00183434">
        <w:rPr>
          <w:rFonts w:cs="Arial"/>
          <w:spacing w:val="-3"/>
          <w:sz w:val="23"/>
          <w:szCs w:val="23"/>
        </w:rPr>
        <w:t xml:space="preserve"> which rents are raised, is shown in the Movement on the HRA Statement.</w:t>
      </w:r>
    </w:p>
    <w:p w14:paraId="49D7D0CC" w14:textId="77777777" w:rsidR="00C575B1" w:rsidRPr="00183434" w:rsidRDefault="00C575B1"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3"/>
          <w:sz w:val="23"/>
          <w:szCs w:val="23"/>
        </w:rPr>
      </w:pPr>
    </w:p>
    <w:p w14:paraId="0AD66B68" w14:textId="6B3486F0" w:rsidR="00C0481F" w:rsidRPr="00183434" w:rsidRDefault="00C575B1"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b/>
          <w:spacing w:val="-3"/>
          <w:sz w:val="23"/>
          <w:szCs w:val="23"/>
        </w:rPr>
      </w:pPr>
      <w:r w:rsidRPr="00183434">
        <w:rPr>
          <w:rFonts w:cs="Arial"/>
          <w:b/>
          <w:spacing w:val="-3"/>
          <w:sz w:val="23"/>
          <w:szCs w:val="23"/>
        </w:rPr>
        <w:object w:dxaOrig="9564" w:dyaOrig="14458" w14:anchorId="6811447A">
          <v:shape id="_x0000_i1111" type="#_x0000_t75" style="width:412.4pt;height:553.55pt" o:ole="">
            <v:imagedata r:id="rId189" o:title=""/>
          </v:shape>
          <o:OLEObject Type="Link" ProgID="Excel.Sheet.12" ShapeID="_x0000_i1111" DrawAspect="Content" r:id="rId190" UpdateMode="Always">
            <o:LinkType>EnhancedMetaFile</o:LinkType>
            <o:LockedField>false</o:LockedField>
            <o:FieldCodes>\* MERGEFORMAT</o:FieldCodes>
          </o:OLEObject>
        </w:object>
      </w:r>
    </w:p>
    <w:p w14:paraId="312BB10A" w14:textId="77777777" w:rsidR="00C575B1" w:rsidRDefault="00A10D8D" w:rsidP="00183434">
      <w:pPr>
        <w:tabs>
          <w:tab w:val="center" w:pos="4945"/>
        </w:tabs>
        <w:suppressAutoHyphens/>
        <w:ind w:left="284"/>
        <w:jc w:val="both"/>
        <w:rPr>
          <w:rFonts w:cs="Arial"/>
          <w:b/>
          <w:spacing w:val="-3"/>
          <w:sz w:val="23"/>
          <w:szCs w:val="23"/>
        </w:rPr>
      </w:pPr>
      <w:r w:rsidRPr="00183434">
        <w:rPr>
          <w:rFonts w:cs="Arial"/>
          <w:b/>
          <w:spacing w:val="-3"/>
          <w:sz w:val="23"/>
          <w:szCs w:val="23"/>
        </w:rPr>
        <w:tab/>
      </w:r>
    </w:p>
    <w:p w14:paraId="4E0A60F0" w14:textId="7433AC03" w:rsidR="009E48A3" w:rsidRPr="00183434" w:rsidRDefault="00C575B1" w:rsidP="00183434">
      <w:pPr>
        <w:tabs>
          <w:tab w:val="center" w:pos="4945"/>
        </w:tabs>
        <w:suppressAutoHyphens/>
        <w:ind w:left="284"/>
        <w:jc w:val="both"/>
        <w:rPr>
          <w:rFonts w:cs="Arial"/>
          <w:b/>
          <w:spacing w:val="-3"/>
          <w:sz w:val="23"/>
          <w:szCs w:val="23"/>
        </w:rPr>
      </w:pPr>
      <w:r>
        <w:rPr>
          <w:rFonts w:cs="Arial"/>
          <w:b/>
          <w:spacing w:val="-3"/>
          <w:sz w:val="23"/>
          <w:szCs w:val="23"/>
        </w:rPr>
        <w:lastRenderedPageBreak/>
        <w:tab/>
      </w:r>
      <w:r w:rsidR="00A10D8D" w:rsidRPr="00183434">
        <w:rPr>
          <w:rFonts w:cs="Arial"/>
          <w:b/>
          <w:spacing w:val="-3"/>
          <w:sz w:val="23"/>
          <w:szCs w:val="23"/>
        </w:rPr>
        <w:tab/>
      </w:r>
      <w:r w:rsidR="00A10D8D" w:rsidRPr="00183434">
        <w:rPr>
          <w:rFonts w:cs="Arial"/>
          <w:b/>
          <w:spacing w:val="-3"/>
          <w:sz w:val="23"/>
          <w:szCs w:val="23"/>
        </w:rPr>
        <w:tab/>
      </w:r>
      <w:r w:rsidR="00A10D8D" w:rsidRPr="00183434">
        <w:rPr>
          <w:rFonts w:cs="Arial"/>
          <w:b/>
          <w:spacing w:val="-3"/>
          <w:sz w:val="23"/>
          <w:szCs w:val="23"/>
        </w:rPr>
        <w:tab/>
      </w:r>
      <w:r w:rsidR="00A10D8D" w:rsidRPr="00183434">
        <w:rPr>
          <w:rFonts w:cs="Arial"/>
          <w:b/>
          <w:spacing w:val="-3"/>
          <w:sz w:val="23"/>
          <w:szCs w:val="23"/>
        </w:rPr>
        <w:tab/>
      </w:r>
    </w:p>
    <w:p w14:paraId="7F35B66B" w14:textId="149B07AA" w:rsidR="009E48A3" w:rsidRPr="00C575B1" w:rsidRDefault="00C575B1" w:rsidP="00183434">
      <w:pPr>
        <w:tabs>
          <w:tab w:val="center" w:pos="4945"/>
        </w:tabs>
        <w:suppressAutoHyphens/>
        <w:jc w:val="both"/>
        <w:rPr>
          <w:rFonts w:cs="Arial"/>
          <w:b/>
          <w:spacing w:val="-3"/>
          <w:sz w:val="23"/>
          <w:szCs w:val="23"/>
        </w:rPr>
      </w:pPr>
      <w:r w:rsidRPr="00C575B1">
        <w:rPr>
          <w:rFonts w:cs="Arial"/>
          <w:b/>
          <w:spacing w:val="-3"/>
          <w:sz w:val="23"/>
          <w:szCs w:val="23"/>
        </w:rPr>
        <w:tab/>
      </w:r>
      <w:r>
        <w:rPr>
          <w:rFonts w:cs="Arial"/>
          <w:b/>
          <w:spacing w:val="-3"/>
          <w:sz w:val="23"/>
          <w:szCs w:val="23"/>
        </w:rPr>
        <w:tab/>
      </w:r>
      <w:r>
        <w:rPr>
          <w:rFonts w:cs="Arial"/>
          <w:b/>
          <w:spacing w:val="-3"/>
          <w:sz w:val="23"/>
          <w:szCs w:val="23"/>
        </w:rPr>
        <w:tab/>
      </w:r>
      <w:r>
        <w:rPr>
          <w:rFonts w:cs="Arial"/>
          <w:b/>
          <w:spacing w:val="-3"/>
          <w:sz w:val="23"/>
          <w:szCs w:val="23"/>
        </w:rPr>
        <w:tab/>
      </w:r>
      <w:r>
        <w:rPr>
          <w:rFonts w:cs="Arial"/>
          <w:b/>
          <w:spacing w:val="-3"/>
          <w:sz w:val="23"/>
          <w:szCs w:val="23"/>
        </w:rPr>
        <w:tab/>
      </w:r>
      <w:r w:rsidRPr="00C575B1">
        <w:rPr>
          <w:rFonts w:cs="Arial"/>
          <w:b/>
          <w:spacing w:val="-3"/>
          <w:sz w:val="23"/>
          <w:szCs w:val="23"/>
        </w:rPr>
        <w:object w:dxaOrig="8527" w:dyaOrig="4217" w14:anchorId="4DE2F942">
          <v:shape id="_x0000_i1112" type="#_x0000_t75" style="width:452.75pt;height:199.3pt" o:ole="">
            <v:imagedata r:id="rId191" o:title=""/>
          </v:shape>
          <o:OLEObject Type="Link" ProgID="Excel.Sheet.12" ShapeID="_x0000_i1112" DrawAspect="Content" r:id="rId192" UpdateMode="Always">
            <o:LinkType>EnhancedMetaFile</o:LinkType>
            <o:LockedField>false</o:LockedField>
            <o:FieldCodes>\* MERGEFORMAT</o:FieldCodes>
          </o:OLEObject>
        </w:object>
      </w:r>
    </w:p>
    <w:p w14:paraId="4AA421E7" w14:textId="77777777" w:rsidR="00386757" w:rsidRPr="00183434" w:rsidRDefault="00386757" w:rsidP="00183434">
      <w:pPr>
        <w:tabs>
          <w:tab w:val="center" w:pos="4945"/>
        </w:tabs>
        <w:suppressAutoHyphens/>
        <w:jc w:val="both"/>
        <w:rPr>
          <w:rFonts w:cs="Arial"/>
          <w:b/>
          <w:spacing w:val="-3"/>
          <w:sz w:val="23"/>
          <w:szCs w:val="23"/>
          <w:highlight w:val="cyan"/>
          <w:u w:val="single"/>
        </w:rPr>
      </w:pPr>
    </w:p>
    <w:p w14:paraId="6021BE72" w14:textId="77777777" w:rsidR="00386757" w:rsidRPr="00183434" w:rsidRDefault="00386757" w:rsidP="00183434">
      <w:pPr>
        <w:tabs>
          <w:tab w:val="center" w:pos="4945"/>
        </w:tabs>
        <w:suppressAutoHyphens/>
        <w:jc w:val="both"/>
        <w:rPr>
          <w:rFonts w:cs="Arial"/>
          <w:spacing w:val="-3"/>
          <w:sz w:val="23"/>
          <w:szCs w:val="23"/>
        </w:rPr>
      </w:pPr>
      <w:r w:rsidRPr="00183434">
        <w:rPr>
          <w:rFonts w:cs="Arial"/>
          <w:b/>
          <w:spacing w:val="-3"/>
          <w:sz w:val="23"/>
          <w:szCs w:val="23"/>
          <w:u w:val="single"/>
        </w:rPr>
        <w:t xml:space="preserve">NOTES TO THE HOUSING REVENUE ACCOUNT </w:t>
      </w:r>
    </w:p>
    <w:p w14:paraId="0994042B"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3"/>
          <w:szCs w:val="23"/>
          <w:highlight w:val="cyan"/>
        </w:rPr>
      </w:pPr>
    </w:p>
    <w:p w14:paraId="0E70968D"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3"/>
          <w:szCs w:val="23"/>
          <w:highlight w:val="cyan"/>
        </w:rPr>
      </w:pPr>
    </w:p>
    <w:p w14:paraId="104C6A27" w14:textId="60E53638"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3"/>
          <w:szCs w:val="23"/>
        </w:rPr>
      </w:pPr>
      <w:r w:rsidRPr="00183434">
        <w:rPr>
          <w:rFonts w:cs="Arial"/>
          <w:spacing w:val="-3"/>
          <w:sz w:val="23"/>
          <w:szCs w:val="23"/>
        </w:rPr>
        <w:t xml:space="preserve">The Council had </w:t>
      </w:r>
      <w:r w:rsidR="001D2536" w:rsidRPr="00183434">
        <w:rPr>
          <w:rFonts w:cs="Arial"/>
          <w:spacing w:val="-3"/>
          <w:sz w:val="23"/>
          <w:szCs w:val="23"/>
        </w:rPr>
        <w:t>8,</w:t>
      </w:r>
      <w:r w:rsidR="002233AC" w:rsidRPr="00183434">
        <w:rPr>
          <w:rFonts w:cs="Arial"/>
          <w:spacing w:val="-3"/>
          <w:sz w:val="23"/>
          <w:szCs w:val="23"/>
        </w:rPr>
        <w:t>635</w:t>
      </w:r>
      <w:r w:rsidRPr="00183434">
        <w:rPr>
          <w:rFonts w:cs="Arial"/>
          <w:spacing w:val="-3"/>
          <w:sz w:val="23"/>
          <w:szCs w:val="23"/>
        </w:rPr>
        <w:t xml:space="preserve"> dwellings available for rent during </w:t>
      </w:r>
      <w:r w:rsidR="001E2004" w:rsidRPr="00183434">
        <w:rPr>
          <w:rFonts w:cs="Arial"/>
          <w:spacing w:val="-3"/>
          <w:sz w:val="23"/>
          <w:szCs w:val="23"/>
        </w:rPr>
        <w:t>202</w:t>
      </w:r>
      <w:r w:rsidR="00EA4C32" w:rsidRPr="00183434">
        <w:rPr>
          <w:rFonts w:cs="Arial"/>
          <w:spacing w:val="-3"/>
          <w:sz w:val="23"/>
          <w:szCs w:val="23"/>
        </w:rPr>
        <w:t>5</w:t>
      </w:r>
      <w:r w:rsidR="001E2004" w:rsidRPr="00183434">
        <w:rPr>
          <w:rFonts w:cs="Arial"/>
          <w:spacing w:val="-3"/>
          <w:sz w:val="23"/>
          <w:szCs w:val="23"/>
        </w:rPr>
        <w:t>/2</w:t>
      </w:r>
      <w:r w:rsidR="00EA4C32" w:rsidRPr="00183434">
        <w:rPr>
          <w:rFonts w:cs="Arial"/>
          <w:spacing w:val="-3"/>
          <w:sz w:val="23"/>
          <w:szCs w:val="23"/>
        </w:rPr>
        <w:t>6</w:t>
      </w:r>
      <w:r w:rsidRPr="00183434">
        <w:rPr>
          <w:rFonts w:cs="Arial"/>
          <w:spacing w:val="-3"/>
          <w:sz w:val="23"/>
          <w:szCs w:val="23"/>
        </w:rPr>
        <w:t>.</w:t>
      </w:r>
      <w:r w:rsidR="007B2184" w:rsidRPr="00183434">
        <w:rPr>
          <w:rFonts w:cs="Arial"/>
          <w:spacing w:val="-3"/>
          <w:sz w:val="23"/>
          <w:szCs w:val="23"/>
        </w:rPr>
        <w:t xml:space="preserve"> </w:t>
      </w:r>
      <w:r w:rsidRPr="00183434">
        <w:rPr>
          <w:rFonts w:cs="Arial"/>
          <w:spacing w:val="-3"/>
          <w:sz w:val="23"/>
          <w:szCs w:val="23"/>
        </w:rPr>
        <w:t xml:space="preserve">Its activities as a housing landlord must, by law, be shown in a separate account, the Housing Revenue Account.  The law prescribes what must be included in this Account and prevents transfers to or from the General Fund except in closely defined circumstances. </w:t>
      </w:r>
    </w:p>
    <w:p w14:paraId="5E912638" w14:textId="77777777" w:rsidR="00386757" w:rsidRPr="00183434" w:rsidRDefault="00386757" w:rsidP="0018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3"/>
          <w:szCs w:val="23"/>
          <w:highlight w:val="cyan"/>
        </w:rPr>
      </w:pPr>
    </w:p>
    <w:p w14:paraId="01741A33" w14:textId="77777777" w:rsidR="00386757" w:rsidRPr="00183434" w:rsidRDefault="00386757" w:rsidP="00183434">
      <w:pPr>
        <w:numPr>
          <w:ilvl w:val="0"/>
          <w:numId w:val="9"/>
        </w:numPr>
        <w:tabs>
          <w:tab w:val="left" w:pos="-720"/>
        </w:tabs>
        <w:suppressAutoHyphens/>
        <w:jc w:val="both"/>
        <w:rPr>
          <w:rFonts w:cs="Arial"/>
          <w:b/>
          <w:spacing w:val="-3"/>
          <w:sz w:val="23"/>
          <w:szCs w:val="23"/>
          <w:u w:val="single"/>
        </w:rPr>
      </w:pPr>
      <w:r w:rsidRPr="00183434">
        <w:rPr>
          <w:rFonts w:cs="Arial"/>
          <w:b/>
          <w:spacing w:val="-3"/>
          <w:sz w:val="23"/>
          <w:szCs w:val="23"/>
          <w:u w:val="single"/>
        </w:rPr>
        <w:t>RENT OF DWELLINGS</w:t>
      </w:r>
    </w:p>
    <w:p w14:paraId="5E1DC090" w14:textId="77777777" w:rsidR="00386757" w:rsidRPr="00183434" w:rsidRDefault="00386757" w:rsidP="00183434">
      <w:pPr>
        <w:tabs>
          <w:tab w:val="left" w:pos="-720"/>
          <w:tab w:val="left" w:pos="441"/>
        </w:tabs>
        <w:suppressAutoHyphens/>
        <w:jc w:val="both"/>
        <w:rPr>
          <w:rFonts w:cs="Arial"/>
          <w:b/>
          <w:spacing w:val="-3"/>
          <w:sz w:val="23"/>
          <w:szCs w:val="23"/>
        </w:rPr>
      </w:pPr>
    </w:p>
    <w:p w14:paraId="36712A55" w14:textId="4606D9E4" w:rsidR="00386757" w:rsidRPr="00183434" w:rsidRDefault="00386757" w:rsidP="00183434">
      <w:pPr>
        <w:tabs>
          <w:tab w:val="left" w:pos="-720"/>
          <w:tab w:val="left" w:pos="441"/>
          <w:tab w:val="left" w:pos="1584"/>
          <w:tab w:val="left" w:pos="6480"/>
          <w:tab w:val="left" w:pos="8064"/>
          <w:tab w:val="left" w:pos="9936"/>
        </w:tabs>
        <w:suppressAutoHyphens/>
        <w:ind w:left="441" w:hanging="441"/>
        <w:jc w:val="both"/>
        <w:rPr>
          <w:rFonts w:cs="Arial"/>
          <w:sz w:val="23"/>
          <w:szCs w:val="23"/>
        </w:rPr>
      </w:pPr>
      <w:r w:rsidRPr="00183434">
        <w:rPr>
          <w:rFonts w:cs="Arial"/>
          <w:sz w:val="23"/>
          <w:szCs w:val="23"/>
        </w:rPr>
        <w:tab/>
      </w:r>
      <w:r w:rsidR="00643610" w:rsidRPr="00183434">
        <w:rPr>
          <w:rFonts w:cs="Arial"/>
          <w:sz w:val="23"/>
          <w:szCs w:val="23"/>
        </w:rPr>
        <w:t>This is the total rent income collectable for the year after allowance is made for empty properties. The average weekly rent in 202</w:t>
      </w:r>
      <w:r w:rsidR="00EA4C32" w:rsidRPr="00183434">
        <w:rPr>
          <w:rFonts w:cs="Arial"/>
          <w:sz w:val="23"/>
          <w:szCs w:val="23"/>
        </w:rPr>
        <w:t>5</w:t>
      </w:r>
      <w:r w:rsidR="00643610" w:rsidRPr="00183434">
        <w:rPr>
          <w:rFonts w:cs="Arial"/>
          <w:sz w:val="23"/>
          <w:szCs w:val="23"/>
        </w:rPr>
        <w:t>/2</w:t>
      </w:r>
      <w:r w:rsidR="00EA4C32" w:rsidRPr="00183434">
        <w:rPr>
          <w:rFonts w:cs="Arial"/>
          <w:sz w:val="23"/>
          <w:szCs w:val="23"/>
        </w:rPr>
        <w:t>6</w:t>
      </w:r>
      <w:r w:rsidR="00643610" w:rsidRPr="00183434">
        <w:rPr>
          <w:rFonts w:cs="Arial"/>
          <w:sz w:val="23"/>
          <w:szCs w:val="23"/>
        </w:rPr>
        <w:t xml:space="preserve"> was £</w:t>
      </w:r>
      <w:r w:rsidR="00B20920" w:rsidRPr="00183434">
        <w:rPr>
          <w:rFonts w:cs="Arial"/>
          <w:sz w:val="23"/>
          <w:szCs w:val="23"/>
        </w:rPr>
        <w:t>9</w:t>
      </w:r>
      <w:r w:rsidR="00D65034" w:rsidRPr="00183434">
        <w:rPr>
          <w:rFonts w:cs="Arial"/>
          <w:sz w:val="23"/>
          <w:szCs w:val="23"/>
        </w:rPr>
        <w:t>8.74</w:t>
      </w:r>
      <w:r w:rsidR="00643610" w:rsidRPr="00183434">
        <w:rPr>
          <w:rFonts w:cs="Arial"/>
          <w:sz w:val="23"/>
          <w:szCs w:val="23"/>
        </w:rPr>
        <w:t xml:space="preserve"> (52 week year), an increase of £</w:t>
      </w:r>
      <w:r w:rsidR="00D65034" w:rsidRPr="00183434">
        <w:rPr>
          <w:rFonts w:cs="Arial"/>
          <w:sz w:val="23"/>
          <w:szCs w:val="23"/>
        </w:rPr>
        <w:t>2.79</w:t>
      </w:r>
      <w:r w:rsidR="00643610" w:rsidRPr="00183434">
        <w:rPr>
          <w:rFonts w:cs="Arial"/>
          <w:sz w:val="23"/>
          <w:szCs w:val="23"/>
        </w:rPr>
        <w:t xml:space="preserve"> (</w:t>
      </w:r>
      <w:r w:rsidR="00D65034" w:rsidRPr="00183434">
        <w:rPr>
          <w:rFonts w:cs="Arial"/>
          <w:sz w:val="23"/>
          <w:szCs w:val="23"/>
        </w:rPr>
        <w:t>2.7</w:t>
      </w:r>
      <w:r w:rsidR="00643610" w:rsidRPr="00183434">
        <w:rPr>
          <w:rFonts w:cs="Arial"/>
          <w:sz w:val="23"/>
          <w:szCs w:val="23"/>
        </w:rPr>
        <w:t>%) on the previous year.</w:t>
      </w:r>
    </w:p>
    <w:p w14:paraId="2E71D1E7" w14:textId="77777777" w:rsidR="00386757" w:rsidRPr="00183434" w:rsidRDefault="00386757" w:rsidP="00183434">
      <w:pPr>
        <w:tabs>
          <w:tab w:val="left" w:pos="-720"/>
          <w:tab w:val="left" w:pos="441"/>
          <w:tab w:val="left" w:pos="1584"/>
          <w:tab w:val="left" w:pos="6480"/>
          <w:tab w:val="left" w:pos="8064"/>
          <w:tab w:val="left" w:pos="9936"/>
        </w:tabs>
        <w:suppressAutoHyphens/>
        <w:jc w:val="both"/>
        <w:rPr>
          <w:rFonts w:cs="Arial"/>
          <w:sz w:val="23"/>
          <w:szCs w:val="23"/>
        </w:rPr>
      </w:pPr>
      <w:r w:rsidRPr="00183434">
        <w:rPr>
          <w:rFonts w:cs="Arial"/>
          <w:sz w:val="23"/>
          <w:szCs w:val="23"/>
        </w:rPr>
        <w:t xml:space="preserve">    </w:t>
      </w:r>
    </w:p>
    <w:p w14:paraId="5F8E4848" w14:textId="77777777" w:rsidR="00386757" w:rsidRPr="00183434" w:rsidRDefault="00386757" w:rsidP="00183434">
      <w:pPr>
        <w:tabs>
          <w:tab w:val="left" w:pos="-720"/>
          <w:tab w:val="left" w:pos="441"/>
          <w:tab w:val="left" w:pos="1584"/>
          <w:tab w:val="left" w:pos="6480"/>
          <w:tab w:val="left" w:pos="8064"/>
          <w:tab w:val="left" w:pos="9936"/>
        </w:tabs>
        <w:suppressAutoHyphens/>
        <w:jc w:val="both"/>
        <w:rPr>
          <w:rFonts w:cs="Arial"/>
          <w:sz w:val="23"/>
          <w:szCs w:val="23"/>
          <w:highlight w:val="cyan"/>
        </w:rPr>
      </w:pPr>
    </w:p>
    <w:p w14:paraId="7077E94A" w14:textId="77777777" w:rsidR="00386757" w:rsidRPr="00183434" w:rsidRDefault="00386757" w:rsidP="00183434">
      <w:pPr>
        <w:numPr>
          <w:ilvl w:val="0"/>
          <w:numId w:val="9"/>
        </w:numPr>
        <w:tabs>
          <w:tab w:val="left" w:pos="-720"/>
          <w:tab w:val="left" w:pos="1584"/>
          <w:tab w:val="left" w:pos="6480"/>
          <w:tab w:val="left" w:pos="8064"/>
          <w:tab w:val="left" w:pos="9936"/>
        </w:tabs>
        <w:suppressAutoHyphens/>
        <w:jc w:val="both"/>
        <w:rPr>
          <w:rFonts w:cs="Arial"/>
          <w:b/>
          <w:sz w:val="23"/>
          <w:szCs w:val="23"/>
          <w:u w:val="single"/>
        </w:rPr>
      </w:pPr>
      <w:r w:rsidRPr="00183434">
        <w:rPr>
          <w:rFonts w:cs="Arial"/>
          <w:b/>
          <w:sz w:val="23"/>
          <w:szCs w:val="23"/>
          <w:u w:val="single"/>
        </w:rPr>
        <w:t>HOUSING STOCK</w:t>
      </w:r>
    </w:p>
    <w:p w14:paraId="433DB4BE" w14:textId="77777777" w:rsidR="00386757" w:rsidRPr="00183434" w:rsidRDefault="00386757" w:rsidP="00183434">
      <w:pPr>
        <w:tabs>
          <w:tab w:val="left" w:pos="-720"/>
          <w:tab w:val="left" w:pos="441"/>
          <w:tab w:val="left" w:pos="1584"/>
          <w:tab w:val="left" w:pos="6480"/>
          <w:tab w:val="left" w:pos="8064"/>
          <w:tab w:val="left" w:pos="9936"/>
        </w:tabs>
        <w:suppressAutoHyphens/>
        <w:jc w:val="both"/>
        <w:rPr>
          <w:rFonts w:cs="Arial"/>
          <w:b/>
          <w:sz w:val="23"/>
          <w:szCs w:val="23"/>
        </w:rPr>
      </w:pPr>
    </w:p>
    <w:p w14:paraId="314BB66A" w14:textId="1A378D38" w:rsidR="00386757" w:rsidRPr="00183434" w:rsidRDefault="00386757" w:rsidP="00183434">
      <w:pPr>
        <w:tabs>
          <w:tab w:val="left" w:pos="-720"/>
          <w:tab w:val="left" w:pos="441"/>
          <w:tab w:val="left" w:pos="2444"/>
          <w:tab w:val="left" w:pos="6480"/>
          <w:tab w:val="left" w:pos="8064"/>
          <w:tab w:val="left" w:pos="9936"/>
        </w:tabs>
        <w:suppressAutoHyphens/>
        <w:jc w:val="both"/>
        <w:rPr>
          <w:rFonts w:cs="Arial"/>
          <w:sz w:val="23"/>
          <w:szCs w:val="23"/>
        </w:rPr>
      </w:pPr>
      <w:r w:rsidRPr="00183434">
        <w:rPr>
          <w:rFonts w:cs="Arial"/>
          <w:sz w:val="23"/>
          <w:szCs w:val="23"/>
        </w:rPr>
        <w:tab/>
        <w:t xml:space="preserve">The Council's housing stock </w:t>
      </w:r>
      <w:proofErr w:type="gramStart"/>
      <w:r w:rsidRPr="00183434">
        <w:rPr>
          <w:rFonts w:cs="Arial"/>
          <w:sz w:val="23"/>
          <w:szCs w:val="23"/>
        </w:rPr>
        <w:t>at</w:t>
      </w:r>
      <w:proofErr w:type="gramEnd"/>
      <w:r w:rsidRPr="00183434">
        <w:rPr>
          <w:rFonts w:cs="Arial"/>
          <w:sz w:val="23"/>
          <w:szCs w:val="23"/>
        </w:rPr>
        <w:t xml:space="preserve"> 31st March 20</w:t>
      </w:r>
      <w:r w:rsidR="00ED53BF" w:rsidRPr="00183434">
        <w:rPr>
          <w:rFonts w:cs="Arial"/>
          <w:sz w:val="23"/>
          <w:szCs w:val="23"/>
        </w:rPr>
        <w:t>2</w:t>
      </w:r>
      <w:r w:rsidR="00EA4C32" w:rsidRPr="00183434">
        <w:rPr>
          <w:rFonts w:cs="Arial"/>
          <w:sz w:val="23"/>
          <w:szCs w:val="23"/>
        </w:rPr>
        <w:t>6</w:t>
      </w:r>
      <w:r w:rsidR="00ED53BF" w:rsidRPr="00183434">
        <w:rPr>
          <w:rFonts w:cs="Arial"/>
          <w:sz w:val="23"/>
          <w:szCs w:val="23"/>
        </w:rPr>
        <w:t xml:space="preserve"> </w:t>
      </w:r>
      <w:r w:rsidRPr="00183434">
        <w:rPr>
          <w:rFonts w:cs="Arial"/>
          <w:sz w:val="23"/>
          <w:szCs w:val="23"/>
        </w:rPr>
        <w:t>was as follows:</w:t>
      </w:r>
    </w:p>
    <w:p w14:paraId="5FDA1AAD" w14:textId="77777777" w:rsidR="003431CB" w:rsidRPr="00183434" w:rsidRDefault="003431CB" w:rsidP="00183434">
      <w:pPr>
        <w:tabs>
          <w:tab w:val="left" w:pos="-720"/>
          <w:tab w:val="left" w:pos="441"/>
          <w:tab w:val="left" w:pos="2444"/>
          <w:tab w:val="left" w:pos="6480"/>
          <w:tab w:val="left" w:pos="8064"/>
          <w:tab w:val="left" w:pos="9936"/>
        </w:tabs>
        <w:suppressAutoHyphens/>
        <w:jc w:val="both"/>
        <w:rPr>
          <w:rFonts w:cs="Arial"/>
          <w:sz w:val="23"/>
          <w:szCs w:val="23"/>
        </w:rPr>
      </w:pPr>
    </w:p>
    <w:p w14:paraId="40A1CEBC" w14:textId="12CEC1EE" w:rsidR="00386757" w:rsidRPr="00183434" w:rsidRDefault="00386757" w:rsidP="00183434">
      <w:pPr>
        <w:tabs>
          <w:tab w:val="left" w:pos="-720"/>
          <w:tab w:val="left" w:pos="441"/>
          <w:tab w:val="left" w:pos="2444"/>
          <w:tab w:val="left" w:pos="6480"/>
          <w:tab w:val="left" w:pos="8064"/>
          <w:tab w:val="left" w:pos="9936"/>
        </w:tabs>
        <w:suppressAutoHyphens/>
        <w:jc w:val="both"/>
        <w:rPr>
          <w:rFonts w:cs="Arial"/>
          <w:sz w:val="23"/>
          <w:szCs w:val="23"/>
        </w:rPr>
      </w:pPr>
      <w:r w:rsidRPr="00183434">
        <w:rPr>
          <w:rFonts w:cs="Arial"/>
          <w:sz w:val="23"/>
          <w:szCs w:val="23"/>
        </w:rPr>
        <w:tab/>
      </w:r>
      <w:r w:rsidR="007D6E44" w:rsidRPr="00183434">
        <w:rPr>
          <w:rFonts w:cs="Arial"/>
          <w:sz w:val="23"/>
          <w:szCs w:val="23"/>
        </w:rPr>
        <w:object w:dxaOrig="7114" w:dyaOrig="3166" w14:anchorId="024A384E">
          <v:shape id="_x0000_i1113" type="#_x0000_t75" style="width:365.75pt;height:160.15pt" o:ole="">
            <v:imagedata r:id="rId193" o:title=""/>
          </v:shape>
          <o:OLEObject Type="Link" ProgID="Excel.Sheet.12" ShapeID="_x0000_i1113" DrawAspect="Content" r:id="rId194" UpdateMode="Always">
            <o:LinkType>EnhancedMetaFile</o:LinkType>
            <o:LockedField>false</o:LockedField>
            <o:FieldCodes>\* MERGEFORMAT</o:FieldCodes>
          </o:OLEObject>
        </w:object>
      </w:r>
    </w:p>
    <w:p w14:paraId="56C518A3" w14:textId="77777777" w:rsidR="00503D2A" w:rsidRPr="00183434" w:rsidRDefault="00503D2A" w:rsidP="00183434">
      <w:pPr>
        <w:tabs>
          <w:tab w:val="left" w:pos="-720"/>
          <w:tab w:val="left" w:pos="441"/>
          <w:tab w:val="left" w:pos="2444"/>
          <w:tab w:val="left" w:pos="6480"/>
          <w:tab w:val="left" w:pos="8064"/>
          <w:tab w:val="left" w:pos="9936"/>
        </w:tabs>
        <w:suppressAutoHyphens/>
        <w:jc w:val="both"/>
        <w:rPr>
          <w:rFonts w:cs="Arial"/>
          <w:sz w:val="23"/>
          <w:szCs w:val="23"/>
          <w:highlight w:val="cyan"/>
        </w:rPr>
      </w:pPr>
    </w:p>
    <w:p w14:paraId="73E194B2" w14:textId="3BC4CBC4" w:rsidR="00386757" w:rsidRPr="00183434" w:rsidRDefault="00503D2A" w:rsidP="00183434">
      <w:pPr>
        <w:tabs>
          <w:tab w:val="left" w:pos="-720"/>
          <w:tab w:val="left" w:pos="441"/>
          <w:tab w:val="left" w:pos="2444"/>
          <w:tab w:val="left" w:pos="6480"/>
          <w:tab w:val="left" w:pos="8064"/>
          <w:tab w:val="left" w:pos="9936"/>
        </w:tabs>
        <w:suppressAutoHyphens/>
        <w:jc w:val="both"/>
        <w:rPr>
          <w:rFonts w:cs="Arial"/>
          <w:sz w:val="23"/>
          <w:szCs w:val="23"/>
        </w:rPr>
      </w:pPr>
      <w:r w:rsidRPr="00183434">
        <w:rPr>
          <w:rFonts w:cs="Arial"/>
          <w:sz w:val="23"/>
          <w:szCs w:val="23"/>
        </w:rPr>
        <w:tab/>
      </w:r>
      <w:r w:rsidR="00386757" w:rsidRPr="00183434">
        <w:rPr>
          <w:rFonts w:cs="Arial"/>
          <w:sz w:val="23"/>
          <w:szCs w:val="23"/>
        </w:rPr>
        <w:tab/>
      </w:r>
    </w:p>
    <w:p w14:paraId="301277E9" w14:textId="340993FB" w:rsidR="00386757" w:rsidRPr="00183434" w:rsidRDefault="00386757" w:rsidP="00183434">
      <w:pPr>
        <w:tabs>
          <w:tab w:val="left" w:pos="-720"/>
          <w:tab w:val="left" w:pos="441"/>
          <w:tab w:val="left" w:pos="2444"/>
          <w:tab w:val="left" w:pos="6480"/>
          <w:tab w:val="left" w:pos="8064"/>
          <w:tab w:val="left" w:pos="9936"/>
        </w:tabs>
        <w:suppressAutoHyphens/>
        <w:ind w:left="441"/>
        <w:jc w:val="both"/>
        <w:rPr>
          <w:rFonts w:cs="Arial"/>
          <w:sz w:val="23"/>
          <w:szCs w:val="23"/>
        </w:rPr>
      </w:pPr>
      <w:r w:rsidRPr="00183434">
        <w:rPr>
          <w:rFonts w:cs="Arial"/>
          <w:sz w:val="23"/>
          <w:szCs w:val="23"/>
        </w:rPr>
        <w:t>The number of properties sold under the 'Right to Buy' legislation in 20</w:t>
      </w:r>
      <w:r w:rsidR="00EE4901" w:rsidRPr="00183434">
        <w:rPr>
          <w:rFonts w:cs="Arial"/>
          <w:sz w:val="23"/>
          <w:szCs w:val="23"/>
        </w:rPr>
        <w:t>2</w:t>
      </w:r>
      <w:r w:rsidR="00E47B63" w:rsidRPr="00183434">
        <w:rPr>
          <w:rFonts w:cs="Arial"/>
          <w:sz w:val="23"/>
          <w:szCs w:val="23"/>
        </w:rPr>
        <w:t>5</w:t>
      </w:r>
      <w:r w:rsidRPr="00183434">
        <w:rPr>
          <w:rFonts w:cs="Arial"/>
          <w:sz w:val="23"/>
          <w:szCs w:val="23"/>
        </w:rPr>
        <w:t>/</w:t>
      </w:r>
      <w:r w:rsidR="00ED53BF" w:rsidRPr="00183434">
        <w:rPr>
          <w:rFonts w:cs="Arial"/>
          <w:sz w:val="23"/>
          <w:szCs w:val="23"/>
        </w:rPr>
        <w:t>2</w:t>
      </w:r>
      <w:r w:rsidR="00E47B63" w:rsidRPr="00183434">
        <w:rPr>
          <w:rFonts w:cs="Arial"/>
          <w:sz w:val="23"/>
          <w:szCs w:val="23"/>
        </w:rPr>
        <w:t>6</w:t>
      </w:r>
      <w:r w:rsidRPr="00183434">
        <w:rPr>
          <w:rFonts w:cs="Arial"/>
          <w:sz w:val="23"/>
          <w:szCs w:val="23"/>
        </w:rPr>
        <w:t xml:space="preserve"> was </w:t>
      </w:r>
      <w:r w:rsidR="002233AC" w:rsidRPr="00183434">
        <w:rPr>
          <w:rFonts w:cs="Arial"/>
          <w:sz w:val="23"/>
          <w:szCs w:val="23"/>
        </w:rPr>
        <w:t>108</w:t>
      </w:r>
      <w:r w:rsidR="007A2969" w:rsidRPr="00183434">
        <w:rPr>
          <w:rFonts w:cs="Arial"/>
          <w:sz w:val="23"/>
          <w:szCs w:val="23"/>
        </w:rPr>
        <w:t xml:space="preserve"> </w:t>
      </w:r>
      <w:r w:rsidRPr="00183434">
        <w:rPr>
          <w:rFonts w:cs="Arial"/>
          <w:sz w:val="23"/>
          <w:szCs w:val="23"/>
        </w:rPr>
        <w:t>(</w:t>
      </w:r>
      <w:r w:rsidR="00413D95" w:rsidRPr="00183434">
        <w:rPr>
          <w:rFonts w:cs="Arial"/>
          <w:sz w:val="23"/>
          <w:szCs w:val="23"/>
        </w:rPr>
        <w:t>4</w:t>
      </w:r>
      <w:r w:rsidR="00E47B63" w:rsidRPr="00183434">
        <w:rPr>
          <w:rFonts w:cs="Arial"/>
          <w:sz w:val="23"/>
          <w:szCs w:val="23"/>
        </w:rPr>
        <w:t>7</w:t>
      </w:r>
      <w:r w:rsidR="001D2536" w:rsidRPr="00183434">
        <w:rPr>
          <w:rFonts w:cs="Arial"/>
          <w:sz w:val="23"/>
          <w:szCs w:val="23"/>
        </w:rPr>
        <w:t xml:space="preserve"> </w:t>
      </w:r>
      <w:r w:rsidRPr="00183434">
        <w:rPr>
          <w:rFonts w:cs="Arial"/>
          <w:sz w:val="23"/>
          <w:szCs w:val="23"/>
        </w:rPr>
        <w:t>in 20</w:t>
      </w:r>
      <w:r w:rsidR="00EB40B5" w:rsidRPr="00183434">
        <w:rPr>
          <w:rFonts w:cs="Arial"/>
          <w:sz w:val="23"/>
          <w:szCs w:val="23"/>
        </w:rPr>
        <w:t>2</w:t>
      </w:r>
      <w:r w:rsidR="00E47B63" w:rsidRPr="00183434">
        <w:rPr>
          <w:rFonts w:cs="Arial"/>
          <w:sz w:val="23"/>
          <w:szCs w:val="23"/>
        </w:rPr>
        <w:t>4</w:t>
      </w:r>
      <w:r w:rsidR="00042369" w:rsidRPr="00183434">
        <w:rPr>
          <w:rFonts w:cs="Arial"/>
          <w:sz w:val="23"/>
          <w:szCs w:val="23"/>
        </w:rPr>
        <w:t>/</w:t>
      </w:r>
      <w:r w:rsidR="00EE4901" w:rsidRPr="00183434">
        <w:rPr>
          <w:rFonts w:cs="Arial"/>
          <w:sz w:val="23"/>
          <w:szCs w:val="23"/>
        </w:rPr>
        <w:t>2</w:t>
      </w:r>
      <w:r w:rsidR="00E47B63" w:rsidRPr="00183434">
        <w:rPr>
          <w:rFonts w:cs="Arial"/>
          <w:sz w:val="23"/>
          <w:szCs w:val="23"/>
        </w:rPr>
        <w:t>5</w:t>
      </w:r>
      <w:r w:rsidRPr="00183434">
        <w:rPr>
          <w:rFonts w:cs="Arial"/>
          <w:sz w:val="23"/>
          <w:szCs w:val="23"/>
        </w:rPr>
        <w:t xml:space="preserve">). </w:t>
      </w:r>
    </w:p>
    <w:p w14:paraId="4F8EFA3D" w14:textId="77777777" w:rsidR="00386757" w:rsidRPr="00183434" w:rsidRDefault="00386757" w:rsidP="00183434">
      <w:pPr>
        <w:tabs>
          <w:tab w:val="left" w:pos="-720"/>
          <w:tab w:val="left" w:pos="441"/>
          <w:tab w:val="left" w:pos="2444"/>
          <w:tab w:val="left" w:pos="6480"/>
          <w:tab w:val="left" w:pos="8064"/>
          <w:tab w:val="left" w:pos="9936"/>
        </w:tabs>
        <w:suppressAutoHyphens/>
        <w:ind w:left="441"/>
        <w:jc w:val="both"/>
        <w:rPr>
          <w:rFonts w:cs="Arial"/>
          <w:sz w:val="23"/>
          <w:szCs w:val="23"/>
        </w:rPr>
      </w:pPr>
    </w:p>
    <w:p w14:paraId="3B22D2C6" w14:textId="77777777" w:rsidR="00386757" w:rsidRPr="00183434" w:rsidRDefault="00386757" w:rsidP="00183434">
      <w:pPr>
        <w:tabs>
          <w:tab w:val="left" w:pos="-720"/>
          <w:tab w:val="left" w:pos="441"/>
          <w:tab w:val="left" w:pos="2444"/>
          <w:tab w:val="left" w:pos="6480"/>
          <w:tab w:val="left" w:pos="8064"/>
          <w:tab w:val="left" w:pos="9936"/>
        </w:tabs>
        <w:suppressAutoHyphens/>
        <w:ind w:left="441"/>
        <w:jc w:val="both"/>
        <w:rPr>
          <w:rFonts w:cs="Arial"/>
          <w:sz w:val="23"/>
          <w:szCs w:val="23"/>
          <w:highlight w:val="cyan"/>
        </w:rPr>
      </w:pPr>
    </w:p>
    <w:p w14:paraId="41FCBCE3" w14:textId="77777777" w:rsidR="00386757" w:rsidRPr="00183434" w:rsidRDefault="00E13B5B" w:rsidP="00183434">
      <w:pPr>
        <w:tabs>
          <w:tab w:val="left" w:pos="-720"/>
          <w:tab w:val="left" w:pos="441"/>
          <w:tab w:val="left" w:pos="2444"/>
          <w:tab w:val="left" w:pos="6480"/>
          <w:tab w:val="left" w:pos="8064"/>
          <w:tab w:val="left" w:pos="9936"/>
        </w:tabs>
        <w:suppressAutoHyphens/>
        <w:ind w:left="441" w:hanging="441"/>
        <w:jc w:val="both"/>
        <w:rPr>
          <w:rFonts w:cs="Arial"/>
          <w:b/>
          <w:sz w:val="23"/>
          <w:szCs w:val="23"/>
        </w:rPr>
      </w:pPr>
      <w:r w:rsidRPr="00183434">
        <w:rPr>
          <w:rFonts w:cs="Arial"/>
          <w:b/>
          <w:sz w:val="23"/>
          <w:szCs w:val="23"/>
        </w:rPr>
        <w:lastRenderedPageBreak/>
        <w:t>3</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RENT ARREARS</w:t>
      </w:r>
    </w:p>
    <w:p w14:paraId="17E72AD5" w14:textId="77777777" w:rsidR="00386757" w:rsidRPr="00183434" w:rsidRDefault="00386757" w:rsidP="00183434">
      <w:pPr>
        <w:tabs>
          <w:tab w:val="left" w:pos="-720"/>
          <w:tab w:val="left" w:pos="441"/>
          <w:tab w:val="left" w:pos="2444"/>
          <w:tab w:val="left" w:pos="6480"/>
          <w:tab w:val="left" w:pos="8064"/>
          <w:tab w:val="left" w:pos="9936"/>
        </w:tabs>
        <w:suppressAutoHyphens/>
        <w:ind w:left="441" w:hanging="441"/>
        <w:jc w:val="both"/>
        <w:rPr>
          <w:rFonts w:cs="Arial"/>
          <w:b/>
          <w:sz w:val="23"/>
          <w:szCs w:val="23"/>
        </w:rPr>
      </w:pPr>
    </w:p>
    <w:p w14:paraId="1A62E31B" w14:textId="4B0576BB" w:rsidR="00386757" w:rsidRPr="00183434" w:rsidRDefault="00386757" w:rsidP="00183434">
      <w:pPr>
        <w:tabs>
          <w:tab w:val="left" w:pos="-720"/>
          <w:tab w:val="left" w:pos="441"/>
          <w:tab w:val="left" w:pos="2444"/>
          <w:tab w:val="left" w:pos="6480"/>
          <w:tab w:val="left" w:pos="8064"/>
          <w:tab w:val="left" w:pos="9936"/>
        </w:tabs>
        <w:suppressAutoHyphens/>
        <w:ind w:left="441" w:hanging="441"/>
        <w:jc w:val="both"/>
        <w:rPr>
          <w:rFonts w:cs="Arial"/>
          <w:sz w:val="23"/>
          <w:szCs w:val="23"/>
        </w:rPr>
      </w:pPr>
      <w:r w:rsidRPr="00183434">
        <w:rPr>
          <w:rFonts w:cs="Arial"/>
          <w:sz w:val="23"/>
          <w:szCs w:val="23"/>
        </w:rPr>
        <w:tab/>
      </w:r>
      <w:r w:rsidR="00643610" w:rsidRPr="00183434">
        <w:rPr>
          <w:rFonts w:cs="Arial"/>
          <w:sz w:val="23"/>
          <w:szCs w:val="23"/>
        </w:rPr>
        <w:t>Rent arrears at the year-end totalled £3</w:t>
      </w:r>
      <w:r w:rsidR="00867785" w:rsidRPr="00183434">
        <w:rPr>
          <w:rFonts w:cs="Arial"/>
          <w:sz w:val="23"/>
          <w:szCs w:val="23"/>
        </w:rPr>
        <w:t>.584m</w:t>
      </w:r>
      <w:r w:rsidR="00643610" w:rsidRPr="00183434">
        <w:rPr>
          <w:rFonts w:cs="Arial"/>
          <w:sz w:val="23"/>
          <w:szCs w:val="23"/>
        </w:rPr>
        <w:t>. This compares with £3</w:t>
      </w:r>
      <w:r w:rsidR="00867785" w:rsidRPr="00183434">
        <w:rPr>
          <w:rFonts w:cs="Arial"/>
          <w:sz w:val="23"/>
          <w:szCs w:val="23"/>
        </w:rPr>
        <w:t>.203m</w:t>
      </w:r>
      <w:r w:rsidR="00643610" w:rsidRPr="00183434">
        <w:rPr>
          <w:rFonts w:cs="Arial"/>
          <w:sz w:val="23"/>
          <w:szCs w:val="23"/>
        </w:rPr>
        <w:t xml:space="preserve"> </w:t>
      </w:r>
      <w:proofErr w:type="gramStart"/>
      <w:r w:rsidR="00643610" w:rsidRPr="00183434">
        <w:rPr>
          <w:rFonts w:cs="Arial"/>
          <w:sz w:val="23"/>
          <w:szCs w:val="23"/>
        </w:rPr>
        <w:t>at</w:t>
      </w:r>
      <w:proofErr w:type="gramEnd"/>
      <w:r w:rsidR="00643610" w:rsidRPr="00183434">
        <w:rPr>
          <w:rFonts w:cs="Arial"/>
          <w:sz w:val="23"/>
          <w:szCs w:val="23"/>
        </w:rPr>
        <w:t xml:space="preserve"> 31st March 202</w:t>
      </w:r>
      <w:r w:rsidR="00E47B63" w:rsidRPr="00183434">
        <w:rPr>
          <w:rFonts w:cs="Arial"/>
          <w:sz w:val="23"/>
          <w:szCs w:val="23"/>
        </w:rPr>
        <w:t>5</w:t>
      </w:r>
      <w:r w:rsidR="00643610" w:rsidRPr="00183434">
        <w:rPr>
          <w:rFonts w:cs="Arial"/>
          <w:sz w:val="23"/>
          <w:szCs w:val="23"/>
        </w:rPr>
        <w:t>. A provision of £</w:t>
      </w:r>
      <w:r w:rsidR="00A12F11" w:rsidRPr="00183434">
        <w:rPr>
          <w:rFonts w:cs="Arial"/>
          <w:sz w:val="23"/>
          <w:szCs w:val="23"/>
        </w:rPr>
        <w:t>2</w:t>
      </w:r>
      <w:r w:rsidR="00867785" w:rsidRPr="00183434">
        <w:rPr>
          <w:rFonts w:cs="Arial"/>
          <w:sz w:val="23"/>
          <w:szCs w:val="23"/>
        </w:rPr>
        <w:t>.416m</w:t>
      </w:r>
      <w:r w:rsidR="00643610" w:rsidRPr="00183434">
        <w:rPr>
          <w:rFonts w:cs="Arial"/>
          <w:sz w:val="23"/>
          <w:szCs w:val="23"/>
        </w:rPr>
        <w:t xml:space="preserve"> (£</w:t>
      </w:r>
      <w:r w:rsidR="00E47B63" w:rsidRPr="00183434">
        <w:rPr>
          <w:rFonts w:cs="Arial"/>
          <w:sz w:val="23"/>
          <w:szCs w:val="23"/>
        </w:rPr>
        <w:t>2</w:t>
      </w:r>
      <w:r w:rsidR="00867785" w:rsidRPr="00183434">
        <w:rPr>
          <w:rFonts w:cs="Arial"/>
          <w:sz w:val="23"/>
          <w:szCs w:val="23"/>
        </w:rPr>
        <w:t>.388m</w:t>
      </w:r>
      <w:r w:rsidR="00643610" w:rsidRPr="00183434">
        <w:rPr>
          <w:rFonts w:cs="Arial"/>
          <w:sz w:val="23"/>
          <w:szCs w:val="23"/>
        </w:rPr>
        <w:t xml:space="preserve"> in 202</w:t>
      </w:r>
      <w:r w:rsidR="00E47B63" w:rsidRPr="00183434">
        <w:rPr>
          <w:rFonts w:cs="Arial"/>
          <w:sz w:val="23"/>
          <w:szCs w:val="23"/>
        </w:rPr>
        <w:t>4</w:t>
      </w:r>
      <w:r w:rsidR="00643610" w:rsidRPr="00183434">
        <w:rPr>
          <w:rFonts w:cs="Arial"/>
          <w:sz w:val="23"/>
          <w:szCs w:val="23"/>
        </w:rPr>
        <w:t>/2</w:t>
      </w:r>
      <w:r w:rsidR="00E47B63" w:rsidRPr="00183434">
        <w:rPr>
          <w:rFonts w:cs="Arial"/>
          <w:sz w:val="23"/>
          <w:szCs w:val="23"/>
        </w:rPr>
        <w:t>5</w:t>
      </w:r>
      <w:r w:rsidR="00643610" w:rsidRPr="00183434">
        <w:rPr>
          <w:rFonts w:cs="Arial"/>
          <w:sz w:val="23"/>
          <w:szCs w:val="23"/>
        </w:rPr>
        <w:t xml:space="preserve">) has been made in the Balance Sheet for uncollectable housing rent debts. </w:t>
      </w:r>
    </w:p>
    <w:p w14:paraId="5EAF3F59" w14:textId="77777777" w:rsidR="00386757" w:rsidRPr="00183434" w:rsidRDefault="00386757" w:rsidP="00183434">
      <w:pPr>
        <w:tabs>
          <w:tab w:val="left" w:pos="-720"/>
          <w:tab w:val="left" w:pos="441"/>
          <w:tab w:val="left" w:pos="2444"/>
          <w:tab w:val="left" w:pos="6480"/>
          <w:tab w:val="left" w:pos="8064"/>
          <w:tab w:val="left" w:pos="9936"/>
        </w:tabs>
        <w:suppressAutoHyphens/>
        <w:ind w:left="441" w:hanging="441"/>
        <w:jc w:val="both"/>
        <w:rPr>
          <w:rFonts w:cs="Arial"/>
          <w:sz w:val="23"/>
          <w:szCs w:val="23"/>
        </w:rPr>
      </w:pPr>
    </w:p>
    <w:p w14:paraId="041E308C" w14:textId="77777777" w:rsidR="00386757" w:rsidRPr="00183434" w:rsidRDefault="00E13B5B" w:rsidP="00183434">
      <w:pPr>
        <w:tabs>
          <w:tab w:val="left" w:pos="-720"/>
          <w:tab w:val="left" w:pos="441"/>
          <w:tab w:val="left" w:pos="2444"/>
          <w:tab w:val="left" w:pos="6480"/>
          <w:tab w:val="left" w:pos="8064"/>
          <w:tab w:val="left" w:pos="9936"/>
        </w:tabs>
        <w:suppressAutoHyphens/>
        <w:ind w:left="441" w:hanging="441"/>
        <w:jc w:val="both"/>
        <w:rPr>
          <w:rFonts w:cs="Arial"/>
          <w:b/>
          <w:sz w:val="23"/>
          <w:szCs w:val="23"/>
        </w:rPr>
      </w:pPr>
      <w:r w:rsidRPr="00183434">
        <w:rPr>
          <w:rFonts w:cs="Arial"/>
          <w:b/>
          <w:sz w:val="23"/>
          <w:szCs w:val="23"/>
        </w:rPr>
        <w:t>4</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VALUATION OF ASSETS</w:t>
      </w:r>
    </w:p>
    <w:p w14:paraId="15391DF7" w14:textId="77777777" w:rsidR="00386757" w:rsidRPr="00183434" w:rsidRDefault="00386757" w:rsidP="00183434">
      <w:pPr>
        <w:tabs>
          <w:tab w:val="left" w:pos="-720"/>
          <w:tab w:val="left" w:pos="2444"/>
          <w:tab w:val="left" w:pos="6480"/>
          <w:tab w:val="left" w:pos="8064"/>
          <w:tab w:val="left" w:pos="9936"/>
        </w:tabs>
        <w:suppressAutoHyphens/>
        <w:jc w:val="both"/>
        <w:rPr>
          <w:rFonts w:cs="Arial"/>
          <w:b/>
          <w:sz w:val="23"/>
          <w:szCs w:val="23"/>
        </w:rPr>
      </w:pPr>
    </w:p>
    <w:p w14:paraId="4B3F3B8F" w14:textId="7FC39523" w:rsidR="00386757" w:rsidRPr="00183434" w:rsidRDefault="0085176D" w:rsidP="00183434">
      <w:pPr>
        <w:tabs>
          <w:tab w:val="left" w:pos="-720"/>
          <w:tab w:val="left" w:pos="441"/>
          <w:tab w:val="left" w:pos="2444"/>
          <w:tab w:val="left" w:pos="6480"/>
          <w:tab w:val="left" w:pos="8064"/>
          <w:tab w:val="left" w:pos="9936"/>
        </w:tabs>
        <w:suppressAutoHyphens/>
        <w:ind w:left="435"/>
        <w:jc w:val="both"/>
        <w:rPr>
          <w:rFonts w:cs="Arial"/>
          <w:sz w:val="23"/>
          <w:szCs w:val="23"/>
        </w:rPr>
      </w:pPr>
      <w:r w:rsidRPr="00183434">
        <w:rPr>
          <w:rFonts w:cs="Arial"/>
          <w:sz w:val="23"/>
          <w:szCs w:val="23"/>
        </w:rPr>
        <w:t xml:space="preserve">An annual desk top review of HRA assets was undertaken as opposed to a comprehensive revaluation as </w:t>
      </w:r>
      <w:proofErr w:type="gramStart"/>
      <w:r w:rsidRPr="00183434">
        <w:rPr>
          <w:rFonts w:cs="Arial"/>
          <w:sz w:val="23"/>
          <w:szCs w:val="23"/>
        </w:rPr>
        <w:t>at</w:t>
      </w:r>
      <w:proofErr w:type="gramEnd"/>
      <w:r w:rsidRPr="00183434">
        <w:rPr>
          <w:rFonts w:cs="Arial"/>
          <w:sz w:val="23"/>
          <w:szCs w:val="23"/>
        </w:rPr>
        <w:t xml:space="preserve"> 31st March 202</w:t>
      </w:r>
      <w:r w:rsidR="00E47B63" w:rsidRPr="00183434">
        <w:rPr>
          <w:rFonts w:cs="Arial"/>
          <w:sz w:val="23"/>
          <w:szCs w:val="23"/>
        </w:rPr>
        <w:t>6</w:t>
      </w:r>
      <w:r w:rsidRPr="00183434">
        <w:rPr>
          <w:rFonts w:cs="Arial"/>
          <w:sz w:val="23"/>
          <w:szCs w:val="23"/>
        </w:rPr>
        <w:t xml:space="preserve"> in accordance with the ‘DCLG’s Guidance on Stock Valuation for Resource Accounting’. The review comprised updating the valuations for residential property by applying selective indices of property prices, adjusted to reflect local market conditions in Chesterfield and comparison with valuation evidence, analysed down to estate level. The figure for 31st March 202</w:t>
      </w:r>
      <w:r w:rsidR="00E47B63" w:rsidRPr="00183434">
        <w:rPr>
          <w:rFonts w:cs="Arial"/>
          <w:sz w:val="23"/>
          <w:szCs w:val="23"/>
        </w:rPr>
        <w:t>6</w:t>
      </w:r>
      <w:r w:rsidRPr="00183434">
        <w:rPr>
          <w:rFonts w:cs="Arial"/>
          <w:sz w:val="23"/>
          <w:szCs w:val="23"/>
        </w:rPr>
        <w:t xml:space="preserve"> excludes depreciation and disposals over the period.</w:t>
      </w:r>
    </w:p>
    <w:p w14:paraId="53DCCAF1" w14:textId="77777777" w:rsidR="009A685B" w:rsidRPr="00183434" w:rsidRDefault="009A685B"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0A531DE0" w14:textId="77777777" w:rsidR="007A2969" w:rsidRPr="00183434" w:rsidRDefault="007A2969" w:rsidP="00183434">
      <w:pPr>
        <w:tabs>
          <w:tab w:val="left" w:pos="-720"/>
          <w:tab w:val="left" w:pos="441"/>
          <w:tab w:val="left" w:pos="2444"/>
          <w:tab w:val="left" w:pos="6480"/>
          <w:tab w:val="left" w:pos="8064"/>
          <w:tab w:val="left" w:pos="9936"/>
        </w:tabs>
        <w:suppressAutoHyphens/>
        <w:jc w:val="both"/>
        <w:rPr>
          <w:rFonts w:cs="Arial"/>
          <w:sz w:val="23"/>
          <w:szCs w:val="23"/>
        </w:rPr>
      </w:pPr>
    </w:p>
    <w:p w14:paraId="31ADD3D9" w14:textId="26A407ED" w:rsidR="00E13B5B" w:rsidRPr="00183434" w:rsidRDefault="007D6E44" w:rsidP="00183434">
      <w:pPr>
        <w:tabs>
          <w:tab w:val="left" w:pos="-720"/>
          <w:tab w:val="left" w:pos="441"/>
          <w:tab w:val="left" w:pos="2444"/>
          <w:tab w:val="left" w:pos="6480"/>
          <w:tab w:val="left" w:pos="8064"/>
          <w:tab w:val="left" w:pos="9936"/>
        </w:tabs>
        <w:suppressAutoHyphens/>
        <w:ind w:left="426"/>
        <w:jc w:val="both"/>
        <w:rPr>
          <w:rFonts w:cs="Arial"/>
          <w:sz w:val="23"/>
          <w:szCs w:val="23"/>
          <w:highlight w:val="cyan"/>
        </w:rPr>
      </w:pPr>
      <w:r w:rsidRPr="00183434">
        <w:rPr>
          <w:rFonts w:cs="Arial"/>
          <w:sz w:val="23"/>
          <w:szCs w:val="23"/>
        </w:rPr>
        <w:object w:dxaOrig="6970" w:dyaOrig="5530" w14:anchorId="310AE337">
          <v:shape id="_x0000_i1114" type="#_x0000_t75" style="width:430.25pt;height:301.8pt" o:ole="">
            <v:imagedata r:id="rId195" o:title=""/>
          </v:shape>
          <o:OLEObject Type="Link" ProgID="Excel.Sheet.12" ShapeID="_x0000_i1114" DrawAspect="Content" r:id="rId196" UpdateMode="Always">
            <o:LinkType>EnhancedMetaFile</o:LinkType>
            <o:LockedField>false</o:LockedField>
            <o:FieldCodes>\* MERGEFORMAT</o:FieldCodes>
          </o:OLEObject>
        </w:object>
      </w:r>
    </w:p>
    <w:p w14:paraId="74A4EB85" w14:textId="77777777" w:rsidR="00574D0F" w:rsidRPr="00183434" w:rsidRDefault="00574D0F" w:rsidP="00183434">
      <w:pPr>
        <w:tabs>
          <w:tab w:val="left" w:pos="-720"/>
          <w:tab w:val="left" w:pos="441"/>
          <w:tab w:val="left" w:pos="2444"/>
          <w:tab w:val="left" w:pos="6480"/>
          <w:tab w:val="left" w:pos="8064"/>
          <w:tab w:val="left" w:pos="9936"/>
        </w:tabs>
        <w:suppressAutoHyphens/>
        <w:jc w:val="both"/>
        <w:rPr>
          <w:rFonts w:cs="Arial"/>
          <w:sz w:val="23"/>
          <w:szCs w:val="23"/>
          <w:highlight w:val="cyan"/>
        </w:rPr>
      </w:pPr>
    </w:p>
    <w:p w14:paraId="75EC364A" w14:textId="77777777" w:rsidR="006A31EC" w:rsidRPr="00183434" w:rsidRDefault="006A31EC" w:rsidP="00183434">
      <w:pPr>
        <w:tabs>
          <w:tab w:val="left" w:pos="-720"/>
          <w:tab w:val="left" w:pos="441"/>
          <w:tab w:val="left" w:pos="2444"/>
          <w:tab w:val="left" w:pos="6480"/>
          <w:tab w:val="left" w:pos="8064"/>
          <w:tab w:val="left" w:pos="9936"/>
        </w:tabs>
        <w:suppressAutoHyphens/>
        <w:jc w:val="both"/>
        <w:rPr>
          <w:rFonts w:cs="Arial"/>
          <w:sz w:val="23"/>
          <w:szCs w:val="23"/>
          <w:highlight w:val="cyan"/>
        </w:rPr>
      </w:pPr>
    </w:p>
    <w:p w14:paraId="01EBA129" w14:textId="77777777" w:rsidR="000C1176" w:rsidRPr="00183434" w:rsidRDefault="000C1176" w:rsidP="00183434">
      <w:pPr>
        <w:tabs>
          <w:tab w:val="left" w:pos="-720"/>
          <w:tab w:val="left" w:pos="441"/>
          <w:tab w:val="left" w:pos="2444"/>
          <w:tab w:val="left" w:pos="6480"/>
          <w:tab w:val="left" w:pos="8064"/>
          <w:tab w:val="left" w:pos="9936"/>
        </w:tabs>
        <w:suppressAutoHyphens/>
        <w:ind w:left="435"/>
        <w:jc w:val="both"/>
        <w:rPr>
          <w:rFonts w:cs="Arial"/>
          <w:sz w:val="23"/>
          <w:szCs w:val="23"/>
        </w:rPr>
      </w:pPr>
      <w:r w:rsidRPr="00183434">
        <w:rPr>
          <w:rFonts w:cs="Arial"/>
          <w:sz w:val="23"/>
          <w:szCs w:val="23"/>
        </w:rPr>
        <w:t xml:space="preserve">The balance sheet valuations for dwellings in the table above are calculated </w:t>
      </w:r>
      <w:proofErr w:type="gramStart"/>
      <w:r w:rsidRPr="00183434">
        <w:rPr>
          <w:rFonts w:cs="Arial"/>
          <w:sz w:val="23"/>
          <w:szCs w:val="23"/>
        </w:rPr>
        <w:t>on the basis of</w:t>
      </w:r>
      <w:proofErr w:type="gramEnd"/>
      <w:r w:rsidRPr="00183434">
        <w:rPr>
          <w:rFonts w:cs="Arial"/>
          <w:sz w:val="23"/>
          <w:szCs w:val="23"/>
        </w:rPr>
        <w:t xml:space="preserve"> rents receivable from existing tenancies. The rents are less than those that could be obtained on the open market.  The balance sheet value defined as </w:t>
      </w:r>
      <w:r w:rsidR="003E0B03" w:rsidRPr="00183434">
        <w:rPr>
          <w:rFonts w:cs="Arial"/>
          <w:sz w:val="23"/>
          <w:szCs w:val="23"/>
        </w:rPr>
        <w:t>Existing Use Value – Social Housing (</w:t>
      </w:r>
      <w:r w:rsidRPr="00183434">
        <w:rPr>
          <w:rFonts w:cs="Arial"/>
          <w:sz w:val="23"/>
          <w:szCs w:val="23"/>
        </w:rPr>
        <w:t>EUV-SH</w:t>
      </w:r>
      <w:r w:rsidR="003E0B03" w:rsidRPr="00183434">
        <w:rPr>
          <w:rFonts w:cs="Arial"/>
          <w:sz w:val="23"/>
          <w:szCs w:val="23"/>
        </w:rPr>
        <w:t>)</w:t>
      </w:r>
      <w:r w:rsidRPr="00183434">
        <w:rPr>
          <w:rFonts w:cs="Arial"/>
          <w:sz w:val="23"/>
          <w:szCs w:val="23"/>
        </w:rPr>
        <w:t xml:space="preserve"> is therefore less than the </w:t>
      </w:r>
      <w:r w:rsidR="003E69EE" w:rsidRPr="00183434">
        <w:rPr>
          <w:rFonts w:cs="Arial"/>
          <w:sz w:val="23"/>
          <w:szCs w:val="23"/>
        </w:rPr>
        <w:t>Open Market Value (</w:t>
      </w:r>
      <w:r w:rsidRPr="00183434">
        <w:rPr>
          <w:rFonts w:cs="Arial"/>
          <w:sz w:val="23"/>
          <w:szCs w:val="23"/>
        </w:rPr>
        <w:t>OMV</w:t>
      </w:r>
      <w:r w:rsidR="003E69EE" w:rsidRPr="00183434">
        <w:rPr>
          <w:rFonts w:cs="Arial"/>
          <w:sz w:val="23"/>
          <w:szCs w:val="23"/>
        </w:rPr>
        <w:t>)</w:t>
      </w:r>
      <w:r w:rsidRPr="00183434">
        <w:rPr>
          <w:rFonts w:cs="Arial"/>
          <w:sz w:val="23"/>
          <w:szCs w:val="23"/>
        </w:rPr>
        <w:t>. The difference between the two values represents the economic cost of providing social housing at less than market value.</w:t>
      </w:r>
    </w:p>
    <w:p w14:paraId="47924124" w14:textId="77777777" w:rsidR="000C1176" w:rsidRPr="00183434" w:rsidRDefault="000C1176"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50D9D21A" w14:textId="77777777" w:rsidR="00386757" w:rsidRPr="00183434" w:rsidRDefault="00386757" w:rsidP="00183434">
      <w:pPr>
        <w:tabs>
          <w:tab w:val="left" w:pos="-720"/>
          <w:tab w:val="left" w:pos="441"/>
          <w:tab w:val="left" w:pos="2444"/>
          <w:tab w:val="left" w:pos="6480"/>
          <w:tab w:val="left" w:pos="8064"/>
          <w:tab w:val="left" w:pos="9936"/>
        </w:tabs>
        <w:suppressAutoHyphens/>
        <w:ind w:left="435"/>
        <w:jc w:val="both"/>
        <w:rPr>
          <w:rFonts w:cs="Arial"/>
          <w:sz w:val="23"/>
          <w:szCs w:val="23"/>
        </w:rPr>
      </w:pPr>
      <w:r w:rsidRPr="00183434">
        <w:rPr>
          <w:rFonts w:cs="Arial"/>
          <w:sz w:val="23"/>
          <w:szCs w:val="23"/>
        </w:rPr>
        <w:t>The factor u</w:t>
      </w:r>
      <w:r w:rsidR="003E69EE" w:rsidRPr="00183434">
        <w:rPr>
          <w:rFonts w:cs="Arial"/>
          <w:sz w:val="23"/>
          <w:szCs w:val="23"/>
        </w:rPr>
        <w:t>sed to convert the OMV</w:t>
      </w:r>
      <w:r w:rsidR="003E0B03" w:rsidRPr="00183434">
        <w:rPr>
          <w:rFonts w:cs="Arial"/>
          <w:sz w:val="23"/>
          <w:szCs w:val="23"/>
        </w:rPr>
        <w:t xml:space="preserve"> of the stock to </w:t>
      </w:r>
      <w:r w:rsidRPr="00183434">
        <w:rPr>
          <w:rFonts w:cs="Arial"/>
          <w:sz w:val="23"/>
          <w:szCs w:val="23"/>
        </w:rPr>
        <w:t xml:space="preserve">EUV-SH for inclusion </w:t>
      </w:r>
      <w:r w:rsidR="008017BC" w:rsidRPr="00183434">
        <w:rPr>
          <w:rFonts w:cs="Arial"/>
          <w:sz w:val="23"/>
          <w:szCs w:val="23"/>
        </w:rPr>
        <w:t>in the balance sheet was increased from 34% to 42</w:t>
      </w:r>
      <w:r w:rsidRPr="00183434">
        <w:rPr>
          <w:rFonts w:cs="Arial"/>
          <w:sz w:val="23"/>
          <w:szCs w:val="23"/>
        </w:rPr>
        <w:t>% with effect from 1</w:t>
      </w:r>
      <w:r w:rsidRPr="00183434">
        <w:rPr>
          <w:rFonts w:cs="Arial"/>
          <w:sz w:val="23"/>
          <w:szCs w:val="23"/>
          <w:vertAlign w:val="superscript"/>
        </w:rPr>
        <w:t>st</w:t>
      </w:r>
      <w:r w:rsidR="008017BC" w:rsidRPr="00183434">
        <w:rPr>
          <w:rFonts w:cs="Arial"/>
          <w:sz w:val="23"/>
          <w:szCs w:val="23"/>
        </w:rPr>
        <w:t xml:space="preserve"> </w:t>
      </w:r>
      <w:proofErr w:type="gramStart"/>
      <w:r w:rsidR="008017BC" w:rsidRPr="00183434">
        <w:rPr>
          <w:rFonts w:cs="Arial"/>
          <w:sz w:val="23"/>
          <w:szCs w:val="23"/>
        </w:rPr>
        <w:t>April,</w:t>
      </w:r>
      <w:proofErr w:type="gramEnd"/>
      <w:r w:rsidR="008017BC" w:rsidRPr="00183434">
        <w:rPr>
          <w:rFonts w:cs="Arial"/>
          <w:sz w:val="23"/>
          <w:szCs w:val="23"/>
        </w:rPr>
        <w:t xml:space="preserve"> 2016</w:t>
      </w:r>
      <w:r w:rsidRPr="00183434">
        <w:rPr>
          <w:rFonts w:cs="Arial"/>
          <w:sz w:val="23"/>
          <w:szCs w:val="23"/>
        </w:rPr>
        <w:t>.</w:t>
      </w:r>
    </w:p>
    <w:p w14:paraId="4F5E1FFD" w14:textId="77777777" w:rsidR="00386757" w:rsidRPr="00183434" w:rsidRDefault="00386757" w:rsidP="00183434">
      <w:pPr>
        <w:tabs>
          <w:tab w:val="left" w:pos="-720"/>
          <w:tab w:val="left" w:pos="441"/>
          <w:tab w:val="left" w:pos="2444"/>
          <w:tab w:val="left" w:pos="6480"/>
          <w:tab w:val="left" w:pos="8064"/>
          <w:tab w:val="left" w:pos="9936"/>
        </w:tabs>
        <w:suppressAutoHyphens/>
        <w:jc w:val="both"/>
        <w:rPr>
          <w:rFonts w:cs="Arial"/>
          <w:sz w:val="23"/>
          <w:szCs w:val="23"/>
          <w:highlight w:val="cyan"/>
        </w:rPr>
      </w:pPr>
    </w:p>
    <w:p w14:paraId="68FE0001" w14:textId="77777777" w:rsidR="008017BC" w:rsidRPr="00183434" w:rsidRDefault="008017BC" w:rsidP="00183434">
      <w:pPr>
        <w:tabs>
          <w:tab w:val="left" w:pos="-720"/>
          <w:tab w:val="left" w:pos="441"/>
          <w:tab w:val="left" w:pos="2444"/>
          <w:tab w:val="left" w:pos="6480"/>
          <w:tab w:val="left" w:pos="8064"/>
          <w:tab w:val="left" w:pos="9936"/>
        </w:tabs>
        <w:suppressAutoHyphens/>
        <w:jc w:val="both"/>
        <w:rPr>
          <w:rFonts w:cs="Arial"/>
          <w:sz w:val="23"/>
          <w:szCs w:val="23"/>
          <w:highlight w:val="cyan"/>
        </w:rPr>
      </w:pPr>
    </w:p>
    <w:p w14:paraId="7C4975B1" w14:textId="77777777" w:rsidR="00C575B1" w:rsidRDefault="00C575B1">
      <w:pPr>
        <w:rPr>
          <w:rFonts w:cs="Arial"/>
          <w:b/>
          <w:sz w:val="23"/>
          <w:szCs w:val="23"/>
        </w:rPr>
      </w:pPr>
      <w:r>
        <w:rPr>
          <w:rFonts w:cs="Arial"/>
          <w:b/>
          <w:sz w:val="23"/>
          <w:szCs w:val="23"/>
        </w:rPr>
        <w:br w:type="page"/>
      </w:r>
    </w:p>
    <w:p w14:paraId="12C9CDEF" w14:textId="1A81AFFE" w:rsidR="00532DF4" w:rsidRPr="00183434" w:rsidRDefault="00E13B5B" w:rsidP="00183434">
      <w:pPr>
        <w:tabs>
          <w:tab w:val="left" w:pos="-720"/>
          <w:tab w:val="left" w:pos="441"/>
          <w:tab w:val="left" w:pos="2444"/>
          <w:tab w:val="left" w:pos="6480"/>
          <w:tab w:val="left" w:pos="8064"/>
          <w:tab w:val="left" w:pos="9936"/>
        </w:tabs>
        <w:suppressAutoHyphens/>
        <w:ind w:left="441" w:hanging="441"/>
        <w:jc w:val="both"/>
        <w:rPr>
          <w:rFonts w:cs="Arial"/>
          <w:b/>
          <w:sz w:val="23"/>
          <w:szCs w:val="23"/>
          <w:u w:val="single"/>
        </w:rPr>
      </w:pPr>
      <w:r w:rsidRPr="00183434">
        <w:rPr>
          <w:rFonts w:cs="Arial"/>
          <w:b/>
          <w:sz w:val="23"/>
          <w:szCs w:val="23"/>
        </w:rPr>
        <w:lastRenderedPageBreak/>
        <w:t>5</w:t>
      </w:r>
      <w:r w:rsidR="00386757" w:rsidRPr="00183434">
        <w:rPr>
          <w:rFonts w:cs="Arial"/>
          <w:b/>
          <w:sz w:val="23"/>
          <w:szCs w:val="23"/>
        </w:rPr>
        <w:t>.</w:t>
      </w:r>
      <w:r w:rsidR="00386757" w:rsidRPr="00183434">
        <w:rPr>
          <w:rFonts w:cs="Arial"/>
          <w:b/>
          <w:sz w:val="23"/>
          <w:szCs w:val="23"/>
        </w:rPr>
        <w:tab/>
      </w:r>
      <w:r w:rsidR="00D91BE6" w:rsidRPr="00183434">
        <w:rPr>
          <w:rFonts w:cs="Arial"/>
          <w:b/>
          <w:sz w:val="23"/>
          <w:szCs w:val="23"/>
          <w:u w:val="single"/>
        </w:rPr>
        <w:t>H</w:t>
      </w:r>
      <w:r w:rsidR="00386757" w:rsidRPr="00183434">
        <w:rPr>
          <w:rFonts w:cs="Arial"/>
          <w:b/>
          <w:sz w:val="23"/>
          <w:szCs w:val="23"/>
          <w:u w:val="single"/>
        </w:rPr>
        <w:t>RA CAPITAL EXPENDITURE &amp; FINANCING</w:t>
      </w:r>
    </w:p>
    <w:p w14:paraId="5DD0B384" w14:textId="77777777" w:rsidR="00532DF4" w:rsidRPr="00183434" w:rsidRDefault="00532DF4" w:rsidP="00183434">
      <w:pPr>
        <w:tabs>
          <w:tab w:val="left" w:pos="-720"/>
          <w:tab w:val="left" w:pos="441"/>
          <w:tab w:val="left" w:pos="2444"/>
          <w:tab w:val="left" w:pos="6480"/>
          <w:tab w:val="left" w:pos="8064"/>
          <w:tab w:val="left" w:pos="9936"/>
        </w:tabs>
        <w:suppressAutoHyphens/>
        <w:ind w:left="441" w:hanging="441"/>
        <w:jc w:val="both"/>
        <w:rPr>
          <w:rFonts w:cs="Arial"/>
          <w:b/>
          <w:sz w:val="23"/>
          <w:szCs w:val="23"/>
        </w:rPr>
      </w:pPr>
    </w:p>
    <w:p w14:paraId="3FD52B2D" w14:textId="3B53022E" w:rsidR="00237156" w:rsidRPr="00183434" w:rsidRDefault="00532DF4" w:rsidP="00183434">
      <w:pPr>
        <w:tabs>
          <w:tab w:val="left" w:pos="-720"/>
          <w:tab w:val="left" w:pos="441"/>
          <w:tab w:val="left" w:pos="2444"/>
          <w:tab w:val="left" w:pos="6480"/>
          <w:tab w:val="left" w:pos="8064"/>
          <w:tab w:val="left" w:pos="9936"/>
        </w:tabs>
        <w:suppressAutoHyphens/>
        <w:ind w:left="441" w:hanging="441"/>
        <w:jc w:val="both"/>
        <w:rPr>
          <w:rFonts w:cs="Arial"/>
          <w:b/>
          <w:sz w:val="23"/>
          <w:szCs w:val="23"/>
        </w:rPr>
      </w:pPr>
      <w:r w:rsidRPr="00183434">
        <w:rPr>
          <w:rFonts w:cs="Arial"/>
          <w:b/>
          <w:sz w:val="23"/>
          <w:szCs w:val="23"/>
        </w:rPr>
        <w:tab/>
      </w:r>
      <w:r w:rsidR="007D6E44" w:rsidRPr="00183434">
        <w:rPr>
          <w:rFonts w:cs="Arial"/>
          <w:b/>
          <w:sz w:val="23"/>
          <w:szCs w:val="23"/>
        </w:rPr>
        <w:object w:dxaOrig="9183" w:dyaOrig="3723" w14:anchorId="2D34618D">
          <v:shape id="_x0000_i1115" type="#_x0000_t75" style="width:470.6pt;height:188.35pt" o:ole="">
            <v:imagedata r:id="rId197" o:title=""/>
          </v:shape>
          <o:OLEObject Type="Link" ProgID="Excel.Sheet.12" ShapeID="_x0000_i1115" DrawAspect="Content" r:id="rId198" UpdateMode="Always">
            <o:LinkType>EnhancedMetaFile</o:LinkType>
            <o:LockedField>false</o:LockedField>
            <o:FieldCodes>\* MERGEFORMAT</o:FieldCodes>
          </o:OLEObject>
        </w:object>
      </w:r>
    </w:p>
    <w:p w14:paraId="5F55EBE5" w14:textId="77777777" w:rsidR="00D74083" w:rsidRPr="00183434" w:rsidRDefault="00D74083" w:rsidP="00183434">
      <w:pPr>
        <w:tabs>
          <w:tab w:val="left" w:pos="-720"/>
          <w:tab w:val="left" w:pos="441"/>
          <w:tab w:val="left" w:pos="2444"/>
          <w:tab w:val="left" w:pos="6480"/>
          <w:tab w:val="left" w:pos="8064"/>
          <w:tab w:val="left" w:pos="9936"/>
        </w:tabs>
        <w:suppressAutoHyphens/>
        <w:ind w:left="441" w:hanging="441"/>
        <w:jc w:val="both"/>
        <w:rPr>
          <w:rFonts w:cs="Arial"/>
          <w:b/>
          <w:sz w:val="23"/>
          <w:szCs w:val="23"/>
          <w:highlight w:val="cyan"/>
        </w:rPr>
      </w:pPr>
    </w:p>
    <w:p w14:paraId="31CB37E3" w14:textId="77777777" w:rsidR="00386757" w:rsidRPr="00183434" w:rsidRDefault="00E13B5B" w:rsidP="00183434">
      <w:pPr>
        <w:tabs>
          <w:tab w:val="left" w:pos="-720"/>
          <w:tab w:val="left" w:pos="441"/>
          <w:tab w:val="left" w:pos="2444"/>
          <w:tab w:val="left" w:pos="6480"/>
          <w:tab w:val="left" w:pos="8064"/>
          <w:tab w:val="left" w:pos="9936"/>
        </w:tabs>
        <w:suppressAutoHyphens/>
        <w:jc w:val="both"/>
        <w:rPr>
          <w:rFonts w:cs="Arial"/>
          <w:b/>
          <w:sz w:val="23"/>
          <w:szCs w:val="23"/>
          <w:u w:val="single"/>
        </w:rPr>
      </w:pPr>
      <w:r w:rsidRPr="00183434">
        <w:rPr>
          <w:rFonts w:cs="Arial"/>
          <w:b/>
          <w:sz w:val="23"/>
          <w:szCs w:val="23"/>
        </w:rPr>
        <w:t>6</w:t>
      </w:r>
      <w:r w:rsidR="00386757" w:rsidRPr="00183434">
        <w:rPr>
          <w:rFonts w:cs="Arial"/>
          <w:b/>
          <w:sz w:val="23"/>
          <w:szCs w:val="23"/>
        </w:rPr>
        <w:t xml:space="preserve">. </w:t>
      </w:r>
      <w:r w:rsidR="00386757" w:rsidRPr="00183434">
        <w:rPr>
          <w:rFonts w:cs="Arial"/>
          <w:b/>
          <w:sz w:val="23"/>
          <w:szCs w:val="23"/>
        </w:rPr>
        <w:tab/>
      </w:r>
      <w:r w:rsidR="00386757" w:rsidRPr="00183434">
        <w:rPr>
          <w:rFonts w:cs="Arial"/>
          <w:b/>
          <w:sz w:val="23"/>
          <w:szCs w:val="23"/>
          <w:u w:val="single"/>
        </w:rPr>
        <w:t>HRA CAPITAL RECEIPTS</w:t>
      </w:r>
    </w:p>
    <w:p w14:paraId="5C2BD987" w14:textId="77777777" w:rsidR="00386757" w:rsidRPr="00183434" w:rsidRDefault="00386757"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1944F69F" w14:textId="33E95D5B" w:rsidR="00386757" w:rsidRPr="00183434" w:rsidRDefault="00532DF4" w:rsidP="00183434">
      <w:pPr>
        <w:tabs>
          <w:tab w:val="left" w:pos="-720"/>
          <w:tab w:val="left" w:pos="441"/>
          <w:tab w:val="left" w:pos="2444"/>
          <w:tab w:val="left" w:pos="6480"/>
          <w:tab w:val="left" w:pos="8064"/>
          <w:tab w:val="left" w:pos="9936"/>
        </w:tabs>
        <w:suppressAutoHyphens/>
        <w:jc w:val="both"/>
        <w:rPr>
          <w:rFonts w:cs="Arial"/>
          <w:sz w:val="23"/>
          <w:szCs w:val="23"/>
        </w:rPr>
      </w:pPr>
      <w:r w:rsidRPr="00183434">
        <w:rPr>
          <w:rFonts w:cs="Arial"/>
          <w:sz w:val="23"/>
          <w:szCs w:val="23"/>
        </w:rPr>
        <w:tab/>
      </w:r>
      <w:r w:rsidR="007D6E44" w:rsidRPr="00183434">
        <w:rPr>
          <w:rFonts w:cs="Arial"/>
          <w:sz w:val="23"/>
          <w:szCs w:val="23"/>
        </w:rPr>
        <w:object w:dxaOrig="7841" w:dyaOrig="2115" w14:anchorId="7FD51C11">
          <v:shape id="_x0000_i1116" type="#_x0000_t75" style="width:423.95pt;height:109.45pt" o:ole="">
            <v:imagedata r:id="rId199" o:title=""/>
          </v:shape>
          <o:OLEObject Type="Link" ProgID="Excel.Sheet.12" ShapeID="_x0000_i1116" DrawAspect="Content" r:id="rId200" UpdateMode="Always">
            <o:LinkType>EnhancedMetaFile</o:LinkType>
            <o:LockedField>false</o:LockedField>
            <o:FieldCodes>\* MERGEFORMAT</o:FieldCodes>
          </o:OLEObject>
        </w:object>
      </w:r>
    </w:p>
    <w:p w14:paraId="05B5FECB" w14:textId="77777777" w:rsidR="00CB711B" w:rsidRPr="00183434" w:rsidRDefault="00CB711B" w:rsidP="00183434">
      <w:pPr>
        <w:tabs>
          <w:tab w:val="left" w:pos="-720"/>
          <w:tab w:val="left" w:pos="441"/>
          <w:tab w:val="left" w:pos="2444"/>
          <w:tab w:val="left" w:pos="6480"/>
          <w:tab w:val="left" w:pos="8064"/>
          <w:tab w:val="left" w:pos="9936"/>
        </w:tabs>
        <w:suppressAutoHyphens/>
        <w:ind w:left="709"/>
        <w:jc w:val="both"/>
        <w:rPr>
          <w:rFonts w:cs="Arial"/>
          <w:sz w:val="23"/>
          <w:szCs w:val="23"/>
          <w:highlight w:val="cyan"/>
        </w:rPr>
      </w:pPr>
    </w:p>
    <w:p w14:paraId="39319F7C" w14:textId="77777777" w:rsidR="00791FF3" w:rsidRPr="00183434" w:rsidRDefault="00E13B5B" w:rsidP="00183434">
      <w:pPr>
        <w:tabs>
          <w:tab w:val="left" w:pos="-720"/>
          <w:tab w:val="left" w:pos="441"/>
          <w:tab w:val="left" w:pos="2444"/>
          <w:tab w:val="left" w:pos="6480"/>
          <w:tab w:val="left" w:pos="8064"/>
          <w:tab w:val="left" w:pos="9936"/>
        </w:tabs>
        <w:suppressAutoHyphens/>
        <w:jc w:val="both"/>
        <w:rPr>
          <w:rFonts w:cs="Arial"/>
          <w:b/>
          <w:sz w:val="23"/>
          <w:szCs w:val="23"/>
          <w:u w:val="single"/>
        </w:rPr>
      </w:pPr>
      <w:r w:rsidRPr="00183434">
        <w:rPr>
          <w:rFonts w:cs="Arial"/>
          <w:b/>
          <w:sz w:val="23"/>
          <w:szCs w:val="23"/>
        </w:rPr>
        <w:t>7</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DEPRECIATION</w:t>
      </w:r>
    </w:p>
    <w:p w14:paraId="3FC032EF" w14:textId="77777777" w:rsidR="00741864" w:rsidRPr="00183434" w:rsidRDefault="00741864" w:rsidP="00183434">
      <w:pPr>
        <w:tabs>
          <w:tab w:val="left" w:pos="-720"/>
          <w:tab w:val="left" w:pos="441"/>
          <w:tab w:val="left" w:pos="2444"/>
          <w:tab w:val="left" w:pos="6480"/>
          <w:tab w:val="left" w:pos="8064"/>
          <w:tab w:val="left" w:pos="9936"/>
        </w:tabs>
        <w:suppressAutoHyphens/>
        <w:jc w:val="both"/>
        <w:rPr>
          <w:rFonts w:cs="Arial"/>
          <w:b/>
          <w:sz w:val="23"/>
          <w:szCs w:val="23"/>
        </w:rPr>
      </w:pPr>
    </w:p>
    <w:p w14:paraId="2C2CEFE0" w14:textId="6E498A47" w:rsidR="00386757" w:rsidRPr="00183434" w:rsidRDefault="00532DF4" w:rsidP="00183434">
      <w:pPr>
        <w:tabs>
          <w:tab w:val="left" w:pos="-720"/>
          <w:tab w:val="left" w:pos="441"/>
          <w:tab w:val="left" w:pos="2444"/>
          <w:tab w:val="left" w:pos="6480"/>
          <w:tab w:val="left" w:pos="8064"/>
          <w:tab w:val="left" w:pos="9936"/>
        </w:tabs>
        <w:suppressAutoHyphens/>
        <w:jc w:val="both"/>
        <w:rPr>
          <w:rFonts w:cs="Arial"/>
          <w:sz w:val="23"/>
          <w:szCs w:val="23"/>
        </w:rPr>
      </w:pPr>
      <w:r w:rsidRPr="00183434">
        <w:rPr>
          <w:rFonts w:cs="Arial"/>
          <w:sz w:val="23"/>
          <w:szCs w:val="23"/>
        </w:rPr>
        <w:tab/>
      </w:r>
      <w:r w:rsidR="007D6E44" w:rsidRPr="00183434">
        <w:rPr>
          <w:rFonts w:cs="Arial"/>
          <w:sz w:val="23"/>
          <w:szCs w:val="23"/>
        </w:rPr>
        <w:object w:dxaOrig="7841" w:dyaOrig="2640" w14:anchorId="22B3CE1B">
          <v:shape id="_x0000_i1117" type="#_x0000_t75" style="width:423.95pt;height:138.25pt" o:ole="">
            <v:imagedata r:id="rId201" o:title=""/>
          </v:shape>
          <o:OLEObject Type="Link" ProgID="Excel.Sheet.12" ShapeID="_x0000_i1117" DrawAspect="Content" r:id="rId202" UpdateMode="Always">
            <o:LinkType>EnhancedMetaFile</o:LinkType>
            <o:LockedField>false</o:LockedField>
            <o:FieldCodes>\* MERGEFORMAT</o:FieldCodes>
          </o:OLEObject>
        </w:object>
      </w:r>
    </w:p>
    <w:p w14:paraId="52FB2556" w14:textId="77777777" w:rsidR="00386757" w:rsidRPr="00183434" w:rsidRDefault="00386757" w:rsidP="00183434">
      <w:pPr>
        <w:tabs>
          <w:tab w:val="left" w:pos="-720"/>
          <w:tab w:val="left" w:pos="441"/>
          <w:tab w:val="left" w:pos="2444"/>
          <w:tab w:val="left" w:pos="6480"/>
          <w:tab w:val="left" w:pos="8064"/>
          <w:tab w:val="left" w:pos="9936"/>
        </w:tabs>
        <w:suppressAutoHyphens/>
        <w:jc w:val="both"/>
        <w:rPr>
          <w:rFonts w:cs="Arial"/>
          <w:sz w:val="23"/>
          <w:szCs w:val="23"/>
          <w:highlight w:val="cyan"/>
        </w:rPr>
      </w:pPr>
    </w:p>
    <w:p w14:paraId="74BEAD5B" w14:textId="77777777" w:rsidR="00386757" w:rsidRPr="00183434" w:rsidRDefault="00E13B5B" w:rsidP="00183434">
      <w:pPr>
        <w:tabs>
          <w:tab w:val="left" w:pos="-720"/>
          <w:tab w:val="left" w:pos="441"/>
          <w:tab w:val="left" w:pos="2444"/>
          <w:tab w:val="left" w:pos="6480"/>
          <w:tab w:val="left" w:pos="8064"/>
          <w:tab w:val="left" w:pos="9936"/>
        </w:tabs>
        <w:suppressAutoHyphens/>
        <w:jc w:val="both"/>
        <w:rPr>
          <w:rFonts w:cs="Arial"/>
          <w:b/>
          <w:sz w:val="23"/>
          <w:szCs w:val="23"/>
        </w:rPr>
      </w:pPr>
      <w:r w:rsidRPr="00183434">
        <w:rPr>
          <w:rFonts w:cs="Arial"/>
          <w:b/>
          <w:sz w:val="23"/>
          <w:szCs w:val="23"/>
        </w:rPr>
        <w:t>8</w:t>
      </w:r>
      <w:r w:rsidR="00386757" w:rsidRPr="00183434">
        <w:rPr>
          <w:rFonts w:cs="Arial"/>
          <w:b/>
          <w:sz w:val="23"/>
          <w:szCs w:val="23"/>
        </w:rPr>
        <w:t>.</w:t>
      </w:r>
      <w:r w:rsidR="00386757" w:rsidRPr="00183434">
        <w:rPr>
          <w:rFonts w:cs="Arial"/>
          <w:b/>
          <w:sz w:val="23"/>
          <w:szCs w:val="23"/>
        </w:rPr>
        <w:tab/>
      </w:r>
      <w:r w:rsidR="00386757" w:rsidRPr="00183434">
        <w:rPr>
          <w:rFonts w:cs="Arial"/>
          <w:b/>
          <w:sz w:val="23"/>
          <w:szCs w:val="23"/>
          <w:u w:val="single"/>
        </w:rPr>
        <w:t>REFCUS, REVALUATION AND IMPAIRMENT LOSSES</w:t>
      </w:r>
    </w:p>
    <w:p w14:paraId="520D675B" w14:textId="77777777" w:rsidR="00386757" w:rsidRPr="00183434" w:rsidRDefault="00386757" w:rsidP="00183434">
      <w:pPr>
        <w:tabs>
          <w:tab w:val="left" w:pos="-720"/>
          <w:tab w:val="left" w:pos="2444"/>
          <w:tab w:val="left" w:pos="6480"/>
          <w:tab w:val="left" w:pos="8064"/>
          <w:tab w:val="left" w:pos="9936"/>
        </w:tabs>
        <w:suppressAutoHyphens/>
        <w:jc w:val="both"/>
        <w:rPr>
          <w:rFonts w:cs="Arial"/>
          <w:b/>
          <w:sz w:val="23"/>
          <w:szCs w:val="23"/>
          <w:u w:val="single"/>
        </w:rPr>
      </w:pPr>
    </w:p>
    <w:p w14:paraId="6742EC17" w14:textId="77777777" w:rsidR="00386757" w:rsidRPr="00183434" w:rsidRDefault="00C64696" w:rsidP="00183434">
      <w:pPr>
        <w:tabs>
          <w:tab w:val="left" w:pos="-720"/>
          <w:tab w:val="left" w:pos="441"/>
          <w:tab w:val="left" w:pos="2444"/>
          <w:tab w:val="left" w:pos="6480"/>
          <w:tab w:val="left" w:pos="8064"/>
          <w:tab w:val="left" w:pos="9936"/>
        </w:tabs>
        <w:suppressAutoHyphens/>
        <w:ind w:left="435"/>
        <w:jc w:val="both"/>
        <w:rPr>
          <w:rFonts w:cs="Arial"/>
          <w:sz w:val="23"/>
          <w:szCs w:val="23"/>
        </w:rPr>
      </w:pPr>
      <w:r w:rsidRPr="00183434">
        <w:rPr>
          <w:rFonts w:cs="Arial"/>
          <w:sz w:val="23"/>
          <w:szCs w:val="23"/>
        </w:rPr>
        <w:t xml:space="preserve">Any </w:t>
      </w:r>
      <w:r w:rsidR="00386757" w:rsidRPr="00183434">
        <w:rPr>
          <w:rFonts w:cs="Arial"/>
          <w:sz w:val="23"/>
          <w:szCs w:val="23"/>
        </w:rPr>
        <w:t>revaluation/impairment losses (or reversals of past revaluation/impairment losses)</w:t>
      </w:r>
      <w:r w:rsidRPr="00183434">
        <w:rPr>
          <w:rFonts w:cs="Arial"/>
          <w:sz w:val="23"/>
          <w:szCs w:val="23"/>
        </w:rPr>
        <w:t>,</w:t>
      </w:r>
      <w:r w:rsidR="00386757" w:rsidRPr="00183434">
        <w:rPr>
          <w:rFonts w:cs="Arial"/>
          <w:sz w:val="23"/>
          <w:szCs w:val="23"/>
        </w:rPr>
        <w:t xml:space="preserve"> amounts in respect of Revenue Expenditure Funded From Capital Under Statute (</w:t>
      </w:r>
      <w:r w:rsidRPr="00183434">
        <w:rPr>
          <w:rFonts w:cs="Arial"/>
          <w:sz w:val="23"/>
          <w:szCs w:val="23"/>
        </w:rPr>
        <w:t>net of related grant income</w:t>
      </w:r>
      <w:r w:rsidR="00386757" w:rsidRPr="00183434">
        <w:rPr>
          <w:rFonts w:cs="Arial"/>
          <w:sz w:val="23"/>
          <w:szCs w:val="23"/>
        </w:rPr>
        <w:t>) and movements in the fair value of investment property were recognised in Surplus/Deficit on the Provision of Services and then reversed out in the Movement in Reserves Statement by means of a transfer to/from the Capital Adjustment Account.</w:t>
      </w:r>
    </w:p>
    <w:p w14:paraId="76BA4D2B" w14:textId="77777777" w:rsidR="00E168F8" w:rsidRDefault="00E168F8"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714E3E8A" w14:textId="77777777" w:rsidR="00C575B1" w:rsidRDefault="00C575B1"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71DD3EE1" w14:textId="77777777" w:rsidR="00C575B1" w:rsidRDefault="00C575B1"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6AE02C16" w14:textId="77777777" w:rsidR="00C575B1" w:rsidRPr="00183434" w:rsidRDefault="00C575B1" w:rsidP="00183434">
      <w:pPr>
        <w:tabs>
          <w:tab w:val="left" w:pos="-720"/>
          <w:tab w:val="left" w:pos="441"/>
          <w:tab w:val="left" w:pos="2444"/>
          <w:tab w:val="left" w:pos="6480"/>
          <w:tab w:val="left" w:pos="8064"/>
          <w:tab w:val="left" w:pos="9936"/>
        </w:tabs>
        <w:suppressAutoHyphens/>
        <w:ind w:left="435"/>
        <w:jc w:val="both"/>
        <w:rPr>
          <w:rFonts w:cs="Arial"/>
          <w:sz w:val="23"/>
          <w:szCs w:val="23"/>
        </w:rPr>
      </w:pPr>
    </w:p>
    <w:p w14:paraId="0D682CFD" w14:textId="77777777" w:rsidR="00386757" w:rsidRPr="00183434" w:rsidRDefault="00386757" w:rsidP="00183434">
      <w:pPr>
        <w:tabs>
          <w:tab w:val="left" w:pos="-720"/>
          <w:tab w:val="left" w:pos="441"/>
          <w:tab w:val="left" w:pos="2444"/>
          <w:tab w:val="left" w:pos="6480"/>
          <w:tab w:val="left" w:pos="8064"/>
          <w:tab w:val="left" w:pos="9936"/>
        </w:tabs>
        <w:suppressAutoHyphens/>
        <w:jc w:val="both"/>
        <w:rPr>
          <w:rFonts w:cs="Arial"/>
          <w:sz w:val="23"/>
          <w:szCs w:val="23"/>
        </w:rPr>
      </w:pPr>
    </w:p>
    <w:p w14:paraId="70929856" w14:textId="631AE9E5" w:rsidR="009B24A4" w:rsidRPr="00183434" w:rsidRDefault="00C575B1" w:rsidP="00C575B1">
      <w:pPr>
        <w:pStyle w:val="Title"/>
        <w:ind w:firstLine="720"/>
        <w:jc w:val="both"/>
        <w:rPr>
          <w:rFonts w:cs="Arial"/>
          <w:b w:val="0"/>
          <w:sz w:val="23"/>
          <w:szCs w:val="23"/>
          <w:u w:val="none"/>
        </w:rPr>
      </w:pPr>
      <w:r w:rsidRPr="00183434">
        <w:rPr>
          <w:rFonts w:cs="Arial"/>
          <w:b w:val="0"/>
          <w:sz w:val="23"/>
          <w:szCs w:val="23"/>
          <w:u w:val="none"/>
        </w:rPr>
        <w:object w:dxaOrig="7841" w:dyaOrig="4280" w14:anchorId="7E1D975F">
          <v:shape id="_x0000_i1118" type="#_x0000_t75" style="width:398.6pt;height:217.75pt" o:ole="">
            <v:imagedata r:id="rId203" o:title=""/>
          </v:shape>
          <o:OLEObject Type="Link" ProgID="Excel.Sheet.12" ShapeID="_x0000_i1118" DrawAspect="Content" r:id="rId204" UpdateMode="Always">
            <o:LinkType>EnhancedMetaFile</o:LinkType>
            <o:LockedField>false</o:LockedField>
            <o:FieldCodes>\* MERGEFORMAT</o:FieldCodes>
          </o:OLEObject>
        </w:object>
      </w:r>
    </w:p>
    <w:p w14:paraId="4CCE965B" w14:textId="77777777" w:rsidR="008B4B0C" w:rsidRPr="00183434" w:rsidRDefault="008B4B0C" w:rsidP="00183434">
      <w:pPr>
        <w:pStyle w:val="Title"/>
        <w:jc w:val="both"/>
        <w:rPr>
          <w:rFonts w:cs="Arial"/>
          <w:sz w:val="23"/>
          <w:szCs w:val="23"/>
          <w:u w:val="none"/>
        </w:rPr>
      </w:pPr>
    </w:p>
    <w:p w14:paraId="2C6B010B" w14:textId="351034F5" w:rsidR="00386757" w:rsidRPr="00183434" w:rsidRDefault="00583765" w:rsidP="00183434">
      <w:pPr>
        <w:pStyle w:val="Title"/>
        <w:jc w:val="both"/>
        <w:rPr>
          <w:rFonts w:cs="Arial"/>
          <w:spacing w:val="-20"/>
          <w:sz w:val="23"/>
          <w:szCs w:val="23"/>
        </w:rPr>
      </w:pPr>
      <w:r w:rsidRPr="00183434">
        <w:rPr>
          <w:rFonts w:cs="Arial"/>
          <w:sz w:val="23"/>
          <w:szCs w:val="23"/>
          <w:u w:val="none"/>
        </w:rPr>
        <w:t>9</w:t>
      </w:r>
      <w:r w:rsidR="00386757" w:rsidRPr="00183434">
        <w:rPr>
          <w:rFonts w:cs="Arial"/>
          <w:sz w:val="23"/>
          <w:szCs w:val="23"/>
          <w:u w:val="none"/>
        </w:rPr>
        <w:t xml:space="preserve">. </w:t>
      </w:r>
      <w:r w:rsidR="00386757" w:rsidRPr="00183434">
        <w:rPr>
          <w:rFonts w:cs="Arial"/>
          <w:spacing w:val="-20"/>
          <w:sz w:val="23"/>
          <w:szCs w:val="23"/>
        </w:rPr>
        <w:t>ADJUSTMENTS BETWEEN ACCOUNTING BASIS &amp; FUNDING BASIS UNDER REGULATIONS</w:t>
      </w:r>
    </w:p>
    <w:p w14:paraId="3F69E528" w14:textId="77777777" w:rsidR="00532DF4" w:rsidRPr="00183434" w:rsidRDefault="00532DF4" w:rsidP="00183434">
      <w:pPr>
        <w:pStyle w:val="Title"/>
        <w:jc w:val="both"/>
        <w:rPr>
          <w:rFonts w:cs="Arial"/>
          <w:spacing w:val="-20"/>
          <w:sz w:val="23"/>
          <w:szCs w:val="23"/>
        </w:rPr>
      </w:pPr>
    </w:p>
    <w:p w14:paraId="2013D0A0" w14:textId="7159064F" w:rsidR="008B4B0C" w:rsidRPr="00C575B1" w:rsidRDefault="007D6E44" w:rsidP="00183434">
      <w:pPr>
        <w:pStyle w:val="Title"/>
        <w:ind w:firstLine="720"/>
        <w:jc w:val="both"/>
        <w:rPr>
          <w:rFonts w:cs="Arial"/>
          <w:spacing w:val="-20"/>
          <w:sz w:val="23"/>
          <w:szCs w:val="23"/>
          <w:highlight w:val="cyan"/>
          <w:u w:val="none"/>
        </w:rPr>
      </w:pPr>
      <w:r w:rsidRPr="00C575B1">
        <w:rPr>
          <w:rFonts w:cs="Arial"/>
          <w:spacing w:val="-20"/>
          <w:sz w:val="23"/>
          <w:szCs w:val="23"/>
          <w:u w:val="none"/>
        </w:rPr>
        <w:object w:dxaOrig="8683" w:dyaOrig="5621" w14:anchorId="7C0A73CB">
          <v:shape id="_x0000_i1119" type="#_x0000_t75" style="width:400.3pt;height:258.6pt" o:ole="">
            <v:imagedata r:id="rId205" o:title=""/>
          </v:shape>
          <o:OLEObject Type="Link" ProgID="Excel.Sheet.12" ShapeID="_x0000_i1119" DrawAspect="Content" r:id="rId206" UpdateMode="Always">
            <o:LinkType>EnhancedMetaFile</o:LinkType>
            <o:LockedField>false</o:LockedField>
            <o:FieldCodes>\* MERGEFORMAT</o:FieldCodes>
          </o:OLEObject>
        </w:object>
      </w:r>
    </w:p>
    <w:p w14:paraId="13618899" w14:textId="77777777" w:rsidR="00532DF4" w:rsidRPr="00183434" w:rsidRDefault="00532DF4" w:rsidP="00183434">
      <w:pPr>
        <w:pStyle w:val="Title"/>
        <w:jc w:val="both"/>
        <w:rPr>
          <w:rFonts w:cs="Arial"/>
          <w:spacing w:val="-20"/>
          <w:sz w:val="23"/>
          <w:szCs w:val="23"/>
          <w:highlight w:val="cyan"/>
        </w:rPr>
      </w:pPr>
    </w:p>
    <w:p w14:paraId="3337447F" w14:textId="294791FC" w:rsidR="008B4B0C" w:rsidRPr="00183434" w:rsidRDefault="008B4B0C" w:rsidP="00183434">
      <w:pPr>
        <w:pStyle w:val="Title"/>
        <w:ind w:firstLine="720"/>
        <w:jc w:val="both"/>
        <w:rPr>
          <w:rFonts w:cs="Arial"/>
          <w:spacing w:val="-20"/>
          <w:sz w:val="23"/>
          <w:szCs w:val="23"/>
          <w:highlight w:val="cyan"/>
        </w:rPr>
      </w:pPr>
    </w:p>
    <w:p w14:paraId="6A4B82B8" w14:textId="77777777" w:rsidR="00C13F77" w:rsidRPr="00183434" w:rsidRDefault="00C13F77" w:rsidP="00183434">
      <w:pPr>
        <w:pStyle w:val="Title"/>
        <w:jc w:val="both"/>
        <w:rPr>
          <w:rFonts w:cs="Arial"/>
          <w:b w:val="0"/>
          <w:sz w:val="23"/>
          <w:szCs w:val="23"/>
          <w:highlight w:val="cyan"/>
          <w:u w:val="none"/>
        </w:rPr>
      </w:pPr>
    </w:p>
    <w:p w14:paraId="6DE2AABA" w14:textId="77777777" w:rsidR="00386757" w:rsidRPr="00183434" w:rsidRDefault="00386757" w:rsidP="00183434">
      <w:pPr>
        <w:ind w:left="360"/>
        <w:jc w:val="both"/>
        <w:rPr>
          <w:rFonts w:cs="Arial"/>
          <w:sz w:val="23"/>
          <w:szCs w:val="23"/>
          <w:highlight w:val="cyan"/>
        </w:rPr>
      </w:pPr>
    </w:p>
    <w:p w14:paraId="2BBC9244" w14:textId="77777777" w:rsidR="00386757" w:rsidRPr="00183434" w:rsidRDefault="00386757" w:rsidP="00183434">
      <w:pPr>
        <w:jc w:val="both"/>
        <w:rPr>
          <w:rFonts w:cs="Arial"/>
          <w:sz w:val="23"/>
          <w:szCs w:val="23"/>
          <w:highlight w:val="cyan"/>
        </w:rPr>
      </w:pPr>
    </w:p>
    <w:p w14:paraId="7C43F55E" w14:textId="77777777" w:rsidR="00386757" w:rsidRPr="00183434" w:rsidRDefault="00386757" w:rsidP="00183434">
      <w:pPr>
        <w:jc w:val="both"/>
        <w:rPr>
          <w:rFonts w:cs="Arial"/>
          <w:sz w:val="23"/>
          <w:szCs w:val="23"/>
          <w:highlight w:val="cyan"/>
        </w:rPr>
      </w:pPr>
    </w:p>
    <w:p w14:paraId="56291FF7" w14:textId="77777777" w:rsidR="00386757" w:rsidRPr="00183434" w:rsidRDefault="00386757" w:rsidP="00183434">
      <w:pPr>
        <w:jc w:val="both"/>
        <w:rPr>
          <w:rFonts w:cs="Arial"/>
          <w:b/>
          <w:sz w:val="23"/>
          <w:szCs w:val="23"/>
          <w:u w:val="single"/>
        </w:rPr>
      </w:pPr>
      <w:r w:rsidRPr="00183434">
        <w:rPr>
          <w:rFonts w:cs="Arial"/>
          <w:sz w:val="23"/>
          <w:szCs w:val="23"/>
          <w:highlight w:val="cyan"/>
        </w:rPr>
        <w:br w:type="page"/>
      </w:r>
      <w:r w:rsidRPr="00183434">
        <w:rPr>
          <w:rFonts w:cs="Arial"/>
          <w:b/>
          <w:sz w:val="23"/>
          <w:szCs w:val="23"/>
          <w:u w:val="single"/>
        </w:rPr>
        <w:lastRenderedPageBreak/>
        <w:t>COLLECTION FUND</w:t>
      </w:r>
    </w:p>
    <w:p w14:paraId="02BC3AA6" w14:textId="77777777" w:rsidR="00386757" w:rsidRPr="00183434" w:rsidRDefault="00386757" w:rsidP="00183434">
      <w:pPr>
        <w:jc w:val="both"/>
        <w:rPr>
          <w:rFonts w:cs="Arial"/>
          <w:b/>
          <w:sz w:val="23"/>
          <w:szCs w:val="23"/>
          <w:u w:val="single"/>
        </w:rPr>
      </w:pPr>
    </w:p>
    <w:p w14:paraId="0A22A5B6" w14:textId="77777777" w:rsidR="00415264" w:rsidRPr="00183434" w:rsidRDefault="00415264" w:rsidP="00183434">
      <w:pPr>
        <w:jc w:val="both"/>
        <w:rPr>
          <w:rFonts w:cs="Arial"/>
          <w:b/>
          <w:sz w:val="23"/>
          <w:szCs w:val="23"/>
          <w:u w:val="single"/>
        </w:rPr>
      </w:pPr>
    </w:p>
    <w:p w14:paraId="6E3BDB75" w14:textId="77777777" w:rsidR="00386757" w:rsidRPr="00183434" w:rsidRDefault="00386757" w:rsidP="00183434">
      <w:pPr>
        <w:jc w:val="both"/>
        <w:rPr>
          <w:rFonts w:cs="Arial"/>
          <w:sz w:val="23"/>
          <w:szCs w:val="23"/>
        </w:rPr>
      </w:pPr>
      <w:r w:rsidRPr="00183434">
        <w:rPr>
          <w:rFonts w:cs="Arial"/>
          <w:sz w:val="23"/>
          <w:szCs w:val="23"/>
        </w:rPr>
        <w:t>The Collection Fund is an agent’s statement that reflects the statutory obligation for billing authorities to maintain a separate Collection Fund. The statement shows the transactions of the billing authority in relation to the collection from taxpayers and distribution to local authorities and the Government of council tax and non-domestic rates.</w:t>
      </w:r>
    </w:p>
    <w:p w14:paraId="095F0C03" w14:textId="77777777" w:rsidR="00CB711B" w:rsidRPr="00183434" w:rsidRDefault="00CB711B" w:rsidP="00183434">
      <w:pPr>
        <w:jc w:val="both"/>
        <w:rPr>
          <w:rFonts w:cs="Arial"/>
          <w:sz w:val="23"/>
          <w:szCs w:val="23"/>
          <w:highlight w:val="cyan"/>
        </w:rPr>
      </w:pPr>
    </w:p>
    <w:p w14:paraId="1E5C84AA" w14:textId="77777777" w:rsidR="00386757" w:rsidRPr="00183434" w:rsidRDefault="00386757" w:rsidP="00183434">
      <w:pPr>
        <w:tabs>
          <w:tab w:val="left" w:pos="1617"/>
        </w:tabs>
        <w:ind w:right="-117"/>
        <w:jc w:val="both"/>
        <w:rPr>
          <w:rFonts w:cs="Arial"/>
          <w:b/>
          <w:sz w:val="23"/>
          <w:szCs w:val="23"/>
        </w:rPr>
      </w:pPr>
    </w:p>
    <w:p w14:paraId="5E5A42BA" w14:textId="77777777" w:rsidR="001B6EC7" w:rsidRPr="00183434" w:rsidRDefault="001B6EC7" w:rsidP="00183434">
      <w:pPr>
        <w:tabs>
          <w:tab w:val="left" w:pos="1617"/>
        </w:tabs>
        <w:ind w:right="-117"/>
        <w:jc w:val="both"/>
        <w:rPr>
          <w:rFonts w:cs="Arial"/>
          <w:b/>
          <w:sz w:val="23"/>
          <w:szCs w:val="23"/>
        </w:rPr>
        <w:sectPr w:rsidR="001B6EC7" w:rsidRPr="00183434" w:rsidSect="00810FDA">
          <w:headerReference w:type="default" r:id="rId207"/>
          <w:footerReference w:type="default" r:id="rId208"/>
          <w:pgSz w:w="11909" w:h="16834" w:code="9"/>
          <w:pgMar w:top="426" w:right="1196" w:bottom="1196" w:left="1196" w:header="709" w:footer="709" w:gutter="0"/>
          <w:cols w:space="720"/>
        </w:sectPr>
      </w:pPr>
    </w:p>
    <w:p w14:paraId="47BEB2A9" w14:textId="5C88310E" w:rsidR="00386757" w:rsidRPr="00183434" w:rsidRDefault="008774E4" w:rsidP="00183434">
      <w:pPr>
        <w:jc w:val="both"/>
        <w:rPr>
          <w:rFonts w:cs="Arial"/>
          <w:sz w:val="23"/>
          <w:szCs w:val="23"/>
          <w:highlight w:val="cyan"/>
        </w:rPr>
      </w:pPr>
      <w:r>
        <w:rPr>
          <w:rFonts w:cs="Arial"/>
          <w:sz w:val="23"/>
          <w:szCs w:val="23"/>
        </w:rPr>
        <w:object w:dxaOrig="8782" w:dyaOrig="10356" w14:anchorId="6FCEBE6C">
          <v:shape id="_x0000_i1484" type="#_x0000_t75" style="width:438.9pt;height:517.8pt" o:ole="">
            <v:imagedata r:id="rId209" o:title=""/>
          </v:shape>
          <o:OLEObject Type="Link" ProgID="Excel.Sheet.12" ShapeID="_x0000_i1484" DrawAspect="Content" r:id="rId210" UpdateMode="Always">
            <o:LinkType>EnhancedMetaFile</o:LinkType>
            <o:LockedField>false</o:LockedField>
          </o:OLEObject>
        </w:object>
      </w:r>
    </w:p>
    <w:p w14:paraId="79D8D61B" w14:textId="77777777" w:rsidR="00386757" w:rsidRPr="00183434" w:rsidRDefault="00386757" w:rsidP="00183434">
      <w:pPr>
        <w:jc w:val="both"/>
        <w:rPr>
          <w:rFonts w:cs="Arial"/>
          <w:b/>
          <w:sz w:val="23"/>
          <w:szCs w:val="23"/>
          <w:highlight w:val="cyan"/>
          <w:u w:val="single"/>
        </w:rPr>
      </w:pPr>
    </w:p>
    <w:p w14:paraId="0E9ACC69" w14:textId="77777777" w:rsidR="00FE7024" w:rsidRPr="00183434" w:rsidRDefault="00FE7024" w:rsidP="00183434">
      <w:pPr>
        <w:jc w:val="both"/>
        <w:rPr>
          <w:rFonts w:cs="Arial"/>
          <w:b/>
          <w:sz w:val="23"/>
          <w:szCs w:val="23"/>
          <w:highlight w:val="cyan"/>
          <w:u w:val="single"/>
        </w:rPr>
      </w:pPr>
    </w:p>
    <w:p w14:paraId="63A0A2B2" w14:textId="48338081" w:rsidR="00520EBB" w:rsidRPr="00183434" w:rsidRDefault="00520EBB" w:rsidP="00183434">
      <w:pPr>
        <w:jc w:val="both"/>
        <w:rPr>
          <w:rFonts w:cs="Arial"/>
          <w:b/>
          <w:sz w:val="23"/>
          <w:szCs w:val="23"/>
          <w:highlight w:val="cyan"/>
          <w:u w:val="single"/>
        </w:rPr>
      </w:pPr>
      <w:r w:rsidRPr="00183434">
        <w:rPr>
          <w:rFonts w:cs="Arial"/>
          <w:b/>
          <w:sz w:val="23"/>
          <w:szCs w:val="23"/>
          <w:highlight w:val="cyan"/>
          <w:u w:val="single"/>
        </w:rPr>
        <w:br w:type="page"/>
      </w:r>
    </w:p>
    <w:p w14:paraId="268DBEC4" w14:textId="77777777" w:rsidR="00386757" w:rsidRPr="00183434" w:rsidRDefault="00386757" w:rsidP="00183434">
      <w:pPr>
        <w:ind w:left="2880" w:firstLine="720"/>
        <w:jc w:val="both"/>
        <w:rPr>
          <w:rFonts w:cs="Arial"/>
          <w:b/>
          <w:sz w:val="23"/>
          <w:szCs w:val="23"/>
          <w:u w:val="single"/>
        </w:rPr>
      </w:pPr>
      <w:r w:rsidRPr="00183434">
        <w:rPr>
          <w:rFonts w:cs="Arial"/>
          <w:b/>
          <w:sz w:val="23"/>
          <w:szCs w:val="23"/>
          <w:u w:val="single"/>
        </w:rPr>
        <w:lastRenderedPageBreak/>
        <w:t>COLLECTION FUND</w:t>
      </w:r>
    </w:p>
    <w:p w14:paraId="26DC3527" w14:textId="77777777" w:rsidR="00386757" w:rsidRPr="00183434" w:rsidRDefault="00386757" w:rsidP="00183434">
      <w:pPr>
        <w:jc w:val="both"/>
        <w:rPr>
          <w:rFonts w:cs="Arial"/>
          <w:sz w:val="23"/>
          <w:szCs w:val="23"/>
        </w:rPr>
      </w:pPr>
    </w:p>
    <w:p w14:paraId="68EFEBBD" w14:textId="77777777" w:rsidR="00386757" w:rsidRPr="00183434" w:rsidRDefault="00386757" w:rsidP="00183434">
      <w:pPr>
        <w:jc w:val="both"/>
        <w:rPr>
          <w:rFonts w:cs="Arial"/>
          <w:sz w:val="23"/>
          <w:szCs w:val="23"/>
        </w:rPr>
      </w:pPr>
    </w:p>
    <w:p w14:paraId="573391F1" w14:textId="77777777" w:rsidR="00386757" w:rsidRPr="00183434" w:rsidRDefault="00386757" w:rsidP="00183434">
      <w:pPr>
        <w:pStyle w:val="Heading1"/>
        <w:jc w:val="both"/>
        <w:rPr>
          <w:rFonts w:cs="Arial"/>
          <w:sz w:val="23"/>
          <w:szCs w:val="23"/>
        </w:rPr>
      </w:pPr>
      <w:r w:rsidRPr="00183434">
        <w:rPr>
          <w:rFonts w:cs="Arial"/>
          <w:sz w:val="23"/>
          <w:szCs w:val="23"/>
        </w:rPr>
        <w:t>NOTES TO THE ACCOUNTS</w:t>
      </w:r>
    </w:p>
    <w:p w14:paraId="7072B40C" w14:textId="77777777" w:rsidR="00386757" w:rsidRPr="00183434" w:rsidRDefault="00386757" w:rsidP="00183434">
      <w:pPr>
        <w:jc w:val="both"/>
        <w:rPr>
          <w:rFonts w:cs="Arial"/>
          <w:sz w:val="23"/>
          <w:szCs w:val="23"/>
        </w:rPr>
      </w:pPr>
    </w:p>
    <w:p w14:paraId="7B7226F8" w14:textId="77777777" w:rsidR="00386757" w:rsidRPr="00183434" w:rsidRDefault="00386757" w:rsidP="00183434">
      <w:pPr>
        <w:numPr>
          <w:ilvl w:val="0"/>
          <w:numId w:val="3"/>
        </w:numPr>
        <w:jc w:val="both"/>
        <w:rPr>
          <w:rFonts w:cs="Arial"/>
          <w:b/>
          <w:sz w:val="23"/>
          <w:szCs w:val="23"/>
          <w:u w:val="single"/>
        </w:rPr>
      </w:pPr>
      <w:r w:rsidRPr="00183434">
        <w:rPr>
          <w:rFonts w:cs="Arial"/>
          <w:b/>
          <w:sz w:val="23"/>
          <w:szCs w:val="23"/>
          <w:u w:val="single"/>
        </w:rPr>
        <w:t>COUNCIL TAX</w:t>
      </w:r>
    </w:p>
    <w:p w14:paraId="654DE69C" w14:textId="77777777" w:rsidR="00386757" w:rsidRPr="00183434" w:rsidRDefault="00386757" w:rsidP="00183434">
      <w:pPr>
        <w:jc w:val="both"/>
        <w:rPr>
          <w:rFonts w:cs="Arial"/>
          <w:sz w:val="23"/>
          <w:szCs w:val="23"/>
        </w:rPr>
      </w:pPr>
    </w:p>
    <w:p w14:paraId="7894EBE0" w14:textId="77777777" w:rsidR="00386757" w:rsidRPr="00183434" w:rsidRDefault="00386757" w:rsidP="00183434">
      <w:pPr>
        <w:ind w:left="720"/>
        <w:jc w:val="both"/>
        <w:rPr>
          <w:rFonts w:cs="Arial"/>
          <w:sz w:val="23"/>
          <w:szCs w:val="23"/>
        </w:rPr>
      </w:pPr>
      <w:r w:rsidRPr="00183434">
        <w:rPr>
          <w:rFonts w:cs="Arial"/>
          <w:sz w:val="23"/>
          <w:szCs w:val="23"/>
        </w:rPr>
        <w:t xml:space="preserve">The Council’s Tax Base i.e. the number of chargeable dwellings in each band converted to an equivalent number of Band D dwellings was calculated as </w:t>
      </w:r>
      <w:proofErr w:type="gramStart"/>
      <w:r w:rsidRPr="00183434">
        <w:rPr>
          <w:rFonts w:cs="Arial"/>
          <w:sz w:val="23"/>
          <w:szCs w:val="23"/>
        </w:rPr>
        <w:t>follows:-</w:t>
      </w:r>
      <w:proofErr w:type="gramEnd"/>
    </w:p>
    <w:p w14:paraId="0429DE39" w14:textId="77777777" w:rsidR="00386757" w:rsidRPr="00183434" w:rsidRDefault="00386757" w:rsidP="00183434">
      <w:pPr>
        <w:jc w:val="both"/>
        <w:rPr>
          <w:rFonts w:cs="Arial"/>
          <w:sz w:val="23"/>
          <w:szCs w:val="23"/>
          <w:highlight w:val="cyan"/>
        </w:rPr>
      </w:pPr>
    </w:p>
    <w:p w14:paraId="553EEF45" w14:textId="77777777" w:rsidR="006E7429" w:rsidRPr="00183434" w:rsidRDefault="006E7429" w:rsidP="00183434">
      <w:pPr>
        <w:jc w:val="both"/>
        <w:rPr>
          <w:rFonts w:cs="Arial"/>
          <w:sz w:val="23"/>
          <w:szCs w:val="23"/>
          <w:highlight w:val="cyan"/>
        </w:rPr>
      </w:pPr>
    </w:p>
    <w:p w14:paraId="6A6E1D9B" w14:textId="7F53F96F" w:rsidR="00386757" w:rsidRPr="00183434" w:rsidRDefault="00E34485" w:rsidP="00183434">
      <w:pPr>
        <w:ind w:left="709"/>
        <w:jc w:val="both"/>
        <w:rPr>
          <w:rFonts w:cs="Arial"/>
          <w:sz w:val="23"/>
          <w:szCs w:val="23"/>
          <w:highlight w:val="cyan"/>
        </w:rPr>
      </w:pPr>
      <w:r w:rsidRPr="00183434">
        <w:rPr>
          <w:rFonts w:cs="Arial"/>
          <w:sz w:val="23"/>
          <w:szCs w:val="23"/>
        </w:rPr>
        <w:object w:dxaOrig="7114" w:dyaOrig="4140" w14:anchorId="27673671">
          <v:shape id="_x0000_i1121" type="#_x0000_t75" style="width:355.95pt;height:206.8pt" o:ole="">
            <v:imagedata r:id="rId211" o:title=""/>
          </v:shape>
          <o:OLEObject Type="Link" ProgID="Excel.Sheet.12" ShapeID="_x0000_i1121" DrawAspect="Content" r:id="rId212" UpdateMode="Always">
            <o:LinkType>EnhancedMetaFile</o:LinkType>
            <o:LockedField>false</o:LockedField>
            <o:FieldCodes>\* MERGEFORMAT</o:FieldCodes>
          </o:OLEObject>
        </w:object>
      </w:r>
    </w:p>
    <w:p w14:paraId="1D72A099" w14:textId="77777777" w:rsidR="00C13F77" w:rsidRPr="00183434" w:rsidRDefault="00C13F77" w:rsidP="00183434">
      <w:pPr>
        <w:ind w:left="709"/>
        <w:jc w:val="both"/>
        <w:rPr>
          <w:rFonts w:cs="Arial"/>
          <w:sz w:val="23"/>
          <w:szCs w:val="23"/>
          <w:highlight w:val="cyan"/>
        </w:rPr>
      </w:pPr>
    </w:p>
    <w:p w14:paraId="5187C687" w14:textId="109E1608" w:rsidR="00386757" w:rsidRPr="00183434" w:rsidRDefault="00386757" w:rsidP="00183434">
      <w:pPr>
        <w:ind w:left="720"/>
        <w:jc w:val="both"/>
        <w:rPr>
          <w:rFonts w:cs="Arial"/>
          <w:sz w:val="23"/>
          <w:szCs w:val="23"/>
        </w:rPr>
      </w:pPr>
      <w:r w:rsidRPr="00183434">
        <w:rPr>
          <w:rFonts w:cs="Arial"/>
          <w:sz w:val="23"/>
          <w:szCs w:val="23"/>
        </w:rPr>
        <w:t xml:space="preserve">The basic amount of Council Tax for a Band D property </w:t>
      </w:r>
      <w:r w:rsidR="00E749A7" w:rsidRPr="00183434">
        <w:rPr>
          <w:rFonts w:cs="Arial"/>
          <w:sz w:val="23"/>
          <w:szCs w:val="23"/>
        </w:rPr>
        <w:t xml:space="preserve">was </w:t>
      </w:r>
      <w:r w:rsidR="00AE1302" w:rsidRPr="00183434">
        <w:rPr>
          <w:rFonts w:cs="Arial"/>
          <w:sz w:val="23"/>
          <w:szCs w:val="23"/>
        </w:rPr>
        <w:t>£2,</w:t>
      </w:r>
      <w:r w:rsidR="00704185" w:rsidRPr="00183434">
        <w:rPr>
          <w:rFonts w:cs="Arial"/>
          <w:sz w:val="23"/>
          <w:szCs w:val="23"/>
        </w:rPr>
        <w:t>212</w:t>
      </w:r>
      <w:r w:rsidR="00AE1302" w:rsidRPr="00183434">
        <w:rPr>
          <w:rFonts w:cs="Arial"/>
          <w:sz w:val="23"/>
          <w:szCs w:val="23"/>
        </w:rPr>
        <w:t>.</w:t>
      </w:r>
      <w:r w:rsidR="00704185" w:rsidRPr="00183434">
        <w:rPr>
          <w:rFonts w:cs="Arial"/>
          <w:sz w:val="23"/>
          <w:szCs w:val="23"/>
        </w:rPr>
        <w:t>68</w:t>
      </w:r>
      <w:r w:rsidR="00AE1302" w:rsidRPr="00183434">
        <w:rPr>
          <w:rFonts w:cs="Arial"/>
          <w:sz w:val="23"/>
          <w:szCs w:val="23"/>
        </w:rPr>
        <w:t xml:space="preserve"> </w:t>
      </w:r>
      <w:r w:rsidR="00767502" w:rsidRPr="00183434">
        <w:rPr>
          <w:rFonts w:cs="Arial"/>
          <w:sz w:val="23"/>
          <w:szCs w:val="23"/>
        </w:rPr>
        <w:t>(£</w:t>
      </w:r>
      <w:r w:rsidR="00AE1302" w:rsidRPr="00183434">
        <w:rPr>
          <w:rFonts w:cs="Arial"/>
          <w:sz w:val="23"/>
          <w:szCs w:val="23"/>
        </w:rPr>
        <w:t>2,</w:t>
      </w:r>
      <w:r w:rsidR="00E47B63" w:rsidRPr="00183434">
        <w:rPr>
          <w:rFonts w:cs="Arial"/>
          <w:sz w:val="23"/>
          <w:szCs w:val="23"/>
        </w:rPr>
        <w:t>110.55</w:t>
      </w:r>
      <w:r w:rsidR="00042369" w:rsidRPr="00183434">
        <w:rPr>
          <w:rFonts w:cs="Arial"/>
          <w:sz w:val="23"/>
          <w:szCs w:val="23"/>
        </w:rPr>
        <w:t xml:space="preserve"> 20</w:t>
      </w:r>
      <w:r w:rsidR="00EB40B5" w:rsidRPr="00183434">
        <w:rPr>
          <w:rFonts w:cs="Arial"/>
          <w:sz w:val="23"/>
          <w:szCs w:val="23"/>
        </w:rPr>
        <w:t>2</w:t>
      </w:r>
      <w:r w:rsidR="00E47B63" w:rsidRPr="00183434">
        <w:rPr>
          <w:rFonts w:cs="Arial"/>
          <w:sz w:val="23"/>
          <w:szCs w:val="23"/>
        </w:rPr>
        <w:t>4</w:t>
      </w:r>
      <w:r w:rsidR="003B51DD" w:rsidRPr="00183434">
        <w:rPr>
          <w:rFonts w:cs="Arial"/>
          <w:sz w:val="23"/>
          <w:szCs w:val="23"/>
        </w:rPr>
        <w:t>/2</w:t>
      </w:r>
      <w:r w:rsidR="00E47B63" w:rsidRPr="00183434">
        <w:rPr>
          <w:rFonts w:cs="Arial"/>
          <w:sz w:val="23"/>
          <w:szCs w:val="23"/>
        </w:rPr>
        <w:t>5</w:t>
      </w:r>
      <w:r w:rsidRPr="00183434">
        <w:rPr>
          <w:rFonts w:cs="Arial"/>
          <w:sz w:val="23"/>
          <w:szCs w:val="23"/>
        </w:rPr>
        <w:t>).</w:t>
      </w:r>
    </w:p>
    <w:p w14:paraId="60D804AE" w14:textId="77777777" w:rsidR="00386757" w:rsidRPr="00183434" w:rsidRDefault="00386757" w:rsidP="00183434">
      <w:pPr>
        <w:jc w:val="both"/>
        <w:rPr>
          <w:rFonts w:cs="Arial"/>
          <w:sz w:val="23"/>
          <w:szCs w:val="23"/>
        </w:rPr>
      </w:pPr>
    </w:p>
    <w:p w14:paraId="5A3866AB" w14:textId="77777777" w:rsidR="00386757" w:rsidRPr="00183434" w:rsidRDefault="00386757" w:rsidP="00183434">
      <w:pPr>
        <w:jc w:val="both"/>
        <w:rPr>
          <w:rFonts w:cs="Arial"/>
          <w:sz w:val="23"/>
          <w:szCs w:val="23"/>
        </w:rPr>
      </w:pPr>
    </w:p>
    <w:p w14:paraId="40C797B2" w14:textId="77777777" w:rsidR="00386757" w:rsidRPr="00183434" w:rsidRDefault="00F61FC6" w:rsidP="00183434">
      <w:pPr>
        <w:numPr>
          <w:ilvl w:val="0"/>
          <w:numId w:val="3"/>
        </w:numPr>
        <w:jc w:val="both"/>
        <w:rPr>
          <w:rFonts w:cs="Arial"/>
          <w:b/>
          <w:sz w:val="23"/>
          <w:szCs w:val="23"/>
          <w:u w:val="single"/>
        </w:rPr>
      </w:pPr>
      <w:r w:rsidRPr="00183434">
        <w:rPr>
          <w:rFonts w:cs="Arial"/>
          <w:b/>
          <w:sz w:val="23"/>
          <w:szCs w:val="23"/>
          <w:u w:val="single"/>
        </w:rPr>
        <w:t>BUSINESS</w:t>
      </w:r>
      <w:r w:rsidR="00386757" w:rsidRPr="00183434">
        <w:rPr>
          <w:rFonts w:cs="Arial"/>
          <w:b/>
          <w:sz w:val="23"/>
          <w:szCs w:val="23"/>
          <w:u w:val="single"/>
        </w:rPr>
        <w:t xml:space="preserve"> RATES</w:t>
      </w:r>
    </w:p>
    <w:p w14:paraId="44135EE1" w14:textId="77777777" w:rsidR="00386757" w:rsidRPr="00183434" w:rsidRDefault="00386757" w:rsidP="00183434">
      <w:pPr>
        <w:jc w:val="both"/>
        <w:rPr>
          <w:rFonts w:cs="Arial"/>
          <w:sz w:val="23"/>
          <w:szCs w:val="23"/>
          <w:highlight w:val="cyan"/>
        </w:rPr>
      </w:pPr>
    </w:p>
    <w:p w14:paraId="362BC810" w14:textId="6CAC3426" w:rsidR="00386757" w:rsidRPr="00183434" w:rsidRDefault="00F61FC6" w:rsidP="00183434">
      <w:pPr>
        <w:ind w:left="720"/>
        <w:jc w:val="both"/>
        <w:rPr>
          <w:rFonts w:cs="Arial"/>
          <w:sz w:val="23"/>
          <w:szCs w:val="23"/>
        </w:rPr>
      </w:pPr>
      <w:r w:rsidRPr="00183434">
        <w:rPr>
          <w:rFonts w:cs="Arial"/>
          <w:sz w:val="23"/>
          <w:szCs w:val="23"/>
        </w:rPr>
        <w:t>Central Government specifies the annual</w:t>
      </w:r>
      <w:r w:rsidR="00386757" w:rsidRPr="00183434">
        <w:rPr>
          <w:rFonts w:cs="Arial"/>
          <w:sz w:val="23"/>
          <w:szCs w:val="23"/>
        </w:rPr>
        <w:t xml:space="preserve"> a</w:t>
      </w:r>
      <w:r w:rsidR="00E749A7" w:rsidRPr="00183434">
        <w:rPr>
          <w:rFonts w:cs="Arial"/>
          <w:sz w:val="23"/>
          <w:szCs w:val="23"/>
        </w:rPr>
        <w:t xml:space="preserve">mount </w:t>
      </w:r>
      <w:r w:rsidRPr="00183434">
        <w:rPr>
          <w:rFonts w:cs="Arial"/>
          <w:sz w:val="23"/>
          <w:szCs w:val="23"/>
        </w:rPr>
        <w:t xml:space="preserve">payable by businesses </w:t>
      </w:r>
      <w:r w:rsidR="00E749A7" w:rsidRPr="00183434">
        <w:rPr>
          <w:rFonts w:cs="Arial"/>
          <w:sz w:val="23"/>
          <w:szCs w:val="23"/>
        </w:rPr>
        <w:t>(</w:t>
      </w:r>
      <w:r w:rsidR="00402BD1" w:rsidRPr="00183434">
        <w:rPr>
          <w:rFonts w:cs="Arial"/>
          <w:sz w:val="23"/>
          <w:szCs w:val="23"/>
        </w:rPr>
        <w:t>5</w:t>
      </w:r>
      <w:r w:rsidR="00AC4E66" w:rsidRPr="00183434">
        <w:rPr>
          <w:rFonts w:cs="Arial"/>
          <w:sz w:val="23"/>
          <w:szCs w:val="23"/>
        </w:rPr>
        <w:t>7</w:t>
      </w:r>
      <w:r w:rsidR="00AE1302" w:rsidRPr="00183434">
        <w:rPr>
          <w:rFonts w:cs="Arial"/>
          <w:sz w:val="23"/>
          <w:szCs w:val="23"/>
        </w:rPr>
        <w:t>.</w:t>
      </w:r>
      <w:r w:rsidR="00AC4E66" w:rsidRPr="00183434">
        <w:rPr>
          <w:rFonts w:cs="Arial"/>
          <w:sz w:val="23"/>
          <w:szCs w:val="23"/>
        </w:rPr>
        <w:t>7</w:t>
      </w:r>
      <w:r w:rsidR="00EA25A0" w:rsidRPr="00183434">
        <w:rPr>
          <w:rFonts w:cs="Arial"/>
          <w:sz w:val="23"/>
          <w:szCs w:val="23"/>
        </w:rPr>
        <w:t>p</w:t>
      </w:r>
      <w:r w:rsidR="00E749A7" w:rsidRPr="00183434">
        <w:rPr>
          <w:rFonts w:cs="Arial"/>
          <w:sz w:val="23"/>
          <w:szCs w:val="23"/>
        </w:rPr>
        <w:t xml:space="preserve"> in 20</w:t>
      </w:r>
      <w:r w:rsidR="003B51DD" w:rsidRPr="00183434">
        <w:rPr>
          <w:rFonts w:cs="Arial"/>
          <w:sz w:val="23"/>
          <w:szCs w:val="23"/>
        </w:rPr>
        <w:t>2</w:t>
      </w:r>
      <w:r w:rsidR="00E47B63" w:rsidRPr="00183434">
        <w:rPr>
          <w:rFonts w:cs="Arial"/>
          <w:sz w:val="23"/>
          <w:szCs w:val="23"/>
        </w:rPr>
        <w:t>5</w:t>
      </w:r>
      <w:r w:rsidR="003B51DD" w:rsidRPr="00183434">
        <w:rPr>
          <w:rFonts w:cs="Arial"/>
          <w:sz w:val="23"/>
          <w:szCs w:val="23"/>
        </w:rPr>
        <w:t>/2</w:t>
      </w:r>
      <w:r w:rsidR="00E47B63" w:rsidRPr="00183434">
        <w:rPr>
          <w:rFonts w:cs="Arial"/>
          <w:sz w:val="23"/>
          <w:szCs w:val="23"/>
        </w:rPr>
        <w:t>6</w:t>
      </w:r>
      <w:r w:rsidR="00D90658" w:rsidRPr="00183434">
        <w:rPr>
          <w:rFonts w:cs="Arial"/>
          <w:sz w:val="23"/>
          <w:szCs w:val="23"/>
        </w:rPr>
        <w:t xml:space="preserve"> </w:t>
      </w:r>
      <w:r w:rsidR="0065451B" w:rsidRPr="00183434">
        <w:rPr>
          <w:rFonts w:cs="Arial"/>
          <w:sz w:val="23"/>
          <w:szCs w:val="23"/>
        </w:rPr>
        <w:t xml:space="preserve">and </w:t>
      </w:r>
      <w:r w:rsidR="003B51DD" w:rsidRPr="00183434">
        <w:rPr>
          <w:rFonts w:cs="Arial"/>
          <w:sz w:val="23"/>
          <w:szCs w:val="23"/>
        </w:rPr>
        <w:t>5</w:t>
      </w:r>
      <w:r w:rsidR="00E47B63" w:rsidRPr="00183434">
        <w:rPr>
          <w:rFonts w:cs="Arial"/>
          <w:sz w:val="23"/>
          <w:szCs w:val="23"/>
        </w:rPr>
        <w:t>5</w:t>
      </w:r>
      <w:r w:rsidR="003B51DD" w:rsidRPr="00183434">
        <w:rPr>
          <w:rFonts w:cs="Arial"/>
          <w:sz w:val="23"/>
          <w:szCs w:val="23"/>
        </w:rPr>
        <w:t>.</w:t>
      </w:r>
      <w:r w:rsidR="00E47B63" w:rsidRPr="00183434">
        <w:rPr>
          <w:rFonts w:cs="Arial"/>
          <w:sz w:val="23"/>
          <w:szCs w:val="23"/>
        </w:rPr>
        <w:t>5</w:t>
      </w:r>
      <w:r w:rsidR="00E749A7" w:rsidRPr="00183434">
        <w:rPr>
          <w:rFonts w:cs="Arial"/>
          <w:sz w:val="23"/>
          <w:szCs w:val="23"/>
        </w:rPr>
        <w:t>p in 20</w:t>
      </w:r>
      <w:r w:rsidR="00EB40B5" w:rsidRPr="00183434">
        <w:rPr>
          <w:rFonts w:cs="Arial"/>
          <w:sz w:val="23"/>
          <w:szCs w:val="23"/>
        </w:rPr>
        <w:t>2</w:t>
      </w:r>
      <w:r w:rsidR="00E47B63" w:rsidRPr="00183434">
        <w:rPr>
          <w:rFonts w:cs="Arial"/>
          <w:sz w:val="23"/>
          <w:szCs w:val="23"/>
        </w:rPr>
        <w:t>4</w:t>
      </w:r>
      <w:r w:rsidR="003B51DD" w:rsidRPr="00183434">
        <w:rPr>
          <w:rFonts w:cs="Arial"/>
          <w:sz w:val="23"/>
          <w:szCs w:val="23"/>
        </w:rPr>
        <w:t>/2</w:t>
      </w:r>
      <w:r w:rsidR="00E47B63" w:rsidRPr="00183434">
        <w:rPr>
          <w:rFonts w:cs="Arial"/>
          <w:sz w:val="23"/>
          <w:szCs w:val="23"/>
        </w:rPr>
        <w:t>5</w:t>
      </w:r>
      <w:r w:rsidR="00386757" w:rsidRPr="00183434">
        <w:rPr>
          <w:rFonts w:cs="Arial"/>
          <w:sz w:val="23"/>
          <w:szCs w:val="23"/>
        </w:rPr>
        <w:t>) and</w:t>
      </w:r>
      <w:r w:rsidRPr="00183434">
        <w:rPr>
          <w:rFonts w:cs="Arial"/>
          <w:sz w:val="23"/>
          <w:szCs w:val="23"/>
        </w:rPr>
        <w:t>,</w:t>
      </w:r>
      <w:r w:rsidR="00386757" w:rsidRPr="00183434">
        <w:rPr>
          <w:rFonts w:cs="Arial"/>
          <w:sz w:val="23"/>
          <w:szCs w:val="23"/>
        </w:rPr>
        <w:t xml:space="preserve"> subject to the effects of transitional arrangements</w:t>
      </w:r>
      <w:r w:rsidRPr="00183434">
        <w:rPr>
          <w:rFonts w:cs="Arial"/>
          <w:sz w:val="23"/>
          <w:szCs w:val="23"/>
        </w:rPr>
        <w:t>,</w:t>
      </w:r>
      <w:r w:rsidR="00386757" w:rsidRPr="00183434">
        <w:rPr>
          <w:rFonts w:cs="Arial"/>
          <w:sz w:val="23"/>
          <w:szCs w:val="23"/>
        </w:rPr>
        <w:t xml:space="preserve"> local businesses pay rates calculated by multiplying their rateable value by that amount. </w:t>
      </w:r>
    </w:p>
    <w:p w14:paraId="48A6DDFC" w14:textId="77777777" w:rsidR="00386757" w:rsidRPr="00183434" w:rsidRDefault="00386757" w:rsidP="00183434">
      <w:pPr>
        <w:ind w:left="720"/>
        <w:jc w:val="both"/>
        <w:rPr>
          <w:rFonts w:cs="Arial"/>
          <w:sz w:val="23"/>
          <w:szCs w:val="23"/>
        </w:rPr>
      </w:pPr>
    </w:p>
    <w:p w14:paraId="449EF406" w14:textId="5489D1DE" w:rsidR="00386757" w:rsidRPr="00183434" w:rsidRDefault="00386757" w:rsidP="00183434">
      <w:pPr>
        <w:ind w:left="720"/>
        <w:jc w:val="both"/>
        <w:rPr>
          <w:rFonts w:cs="Arial"/>
          <w:sz w:val="23"/>
          <w:szCs w:val="23"/>
        </w:rPr>
      </w:pPr>
      <w:r w:rsidRPr="00183434">
        <w:rPr>
          <w:rFonts w:cs="Arial"/>
          <w:sz w:val="23"/>
          <w:szCs w:val="23"/>
        </w:rPr>
        <w:t>A small business rate relief scheme was introduced by central government in 2005/06 and for those businesses eligible for this relief the multiplier is</w:t>
      </w:r>
      <w:r w:rsidR="006B33FE" w:rsidRPr="00183434">
        <w:rPr>
          <w:rFonts w:cs="Arial"/>
          <w:sz w:val="23"/>
          <w:szCs w:val="23"/>
        </w:rPr>
        <w:t xml:space="preserve"> </w:t>
      </w:r>
      <w:r w:rsidR="00AC4E66" w:rsidRPr="00183434">
        <w:rPr>
          <w:rFonts w:cs="Arial"/>
          <w:sz w:val="23"/>
          <w:szCs w:val="23"/>
        </w:rPr>
        <w:t>51.9</w:t>
      </w:r>
      <w:r w:rsidR="00F42897" w:rsidRPr="00183434">
        <w:rPr>
          <w:rFonts w:cs="Arial"/>
          <w:sz w:val="23"/>
          <w:szCs w:val="23"/>
        </w:rPr>
        <w:t>p</w:t>
      </w:r>
      <w:r w:rsidR="00ED00AB" w:rsidRPr="00183434">
        <w:rPr>
          <w:rFonts w:cs="Arial"/>
          <w:sz w:val="23"/>
          <w:szCs w:val="23"/>
        </w:rPr>
        <w:t xml:space="preserve"> for 20</w:t>
      </w:r>
      <w:r w:rsidR="003B51DD" w:rsidRPr="00183434">
        <w:rPr>
          <w:rFonts w:cs="Arial"/>
          <w:sz w:val="23"/>
          <w:szCs w:val="23"/>
        </w:rPr>
        <w:t>2</w:t>
      </w:r>
      <w:r w:rsidR="00E47B63" w:rsidRPr="00183434">
        <w:rPr>
          <w:rFonts w:cs="Arial"/>
          <w:sz w:val="23"/>
          <w:szCs w:val="23"/>
        </w:rPr>
        <w:t>5</w:t>
      </w:r>
      <w:r w:rsidR="003B51DD" w:rsidRPr="00183434">
        <w:rPr>
          <w:rFonts w:cs="Arial"/>
          <w:sz w:val="23"/>
          <w:szCs w:val="23"/>
        </w:rPr>
        <w:t>/2</w:t>
      </w:r>
      <w:r w:rsidR="00E47B63" w:rsidRPr="00183434">
        <w:rPr>
          <w:rFonts w:cs="Arial"/>
          <w:sz w:val="23"/>
          <w:szCs w:val="23"/>
        </w:rPr>
        <w:t>6</w:t>
      </w:r>
      <w:r w:rsidR="00ED00AB" w:rsidRPr="00183434">
        <w:rPr>
          <w:rFonts w:cs="Arial"/>
          <w:sz w:val="23"/>
          <w:szCs w:val="23"/>
        </w:rPr>
        <w:t xml:space="preserve"> (</w:t>
      </w:r>
      <w:r w:rsidR="001A57BF" w:rsidRPr="00183434">
        <w:rPr>
          <w:rFonts w:cs="Arial"/>
          <w:sz w:val="23"/>
          <w:szCs w:val="23"/>
        </w:rPr>
        <w:t>51.9</w:t>
      </w:r>
      <w:r w:rsidR="00ED00AB" w:rsidRPr="00183434">
        <w:rPr>
          <w:rFonts w:cs="Arial"/>
          <w:sz w:val="23"/>
          <w:szCs w:val="23"/>
        </w:rPr>
        <w:t>p in 20</w:t>
      </w:r>
      <w:r w:rsidR="00EB40B5" w:rsidRPr="00183434">
        <w:rPr>
          <w:rFonts w:cs="Arial"/>
          <w:sz w:val="23"/>
          <w:szCs w:val="23"/>
        </w:rPr>
        <w:t>2</w:t>
      </w:r>
      <w:r w:rsidR="00E47B63" w:rsidRPr="00183434">
        <w:rPr>
          <w:rFonts w:cs="Arial"/>
          <w:sz w:val="23"/>
          <w:szCs w:val="23"/>
        </w:rPr>
        <w:t>4</w:t>
      </w:r>
      <w:r w:rsidR="003B51DD" w:rsidRPr="00183434">
        <w:rPr>
          <w:rFonts w:cs="Arial"/>
          <w:sz w:val="23"/>
          <w:szCs w:val="23"/>
        </w:rPr>
        <w:t>/2</w:t>
      </w:r>
      <w:r w:rsidR="00E47B63" w:rsidRPr="00183434">
        <w:rPr>
          <w:rFonts w:cs="Arial"/>
          <w:sz w:val="23"/>
          <w:szCs w:val="23"/>
        </w:rPr>
        <w:t>5</w:t>
      </w:r>
      <w:r w:rsidRPr="00183434">
        <w:rPr>
          <w:rFonts w:cs="Arial"/>
          <w:sz w:val="23"/>
          <w:szCs w:val="23"/>
        </w:rPr>
        <w:t>).</w:t>
      </w:r>
    </w:p>
    <w:p w14:paraId="21045E1A" w14:textId="77777777" w:rsidR="00386757" w:rsidRPr="00183434" w:rsidRDefault="00386757" w:rsidP="00183434">
      <w:pPr>
        <w:jc w:val="both"/>
        <w:rPr>
          <w:rFonts w:cs="Arial"/>
          <w:sz w:val="23"/>
          <w:szCs w:val="23"/>
          <w:highlight w:val="cyan"/>
        </w:rPr>
      </w:pPr>
    </w:p>
    <w:p w14:paraId="3F9ACFB5" w14:textId="77777777" w:rsidR="00386757" w:rsidRPr="00183434" w:rsidRDefault="00386757" w:rsidP="00183434">
      <w:pPr>
        <w:ind w:left="720"/>
        <w:jc w:val="both"/>
        <w:rPr>
          <w:rFonts w:cs="Arial"/>
          <w:sz w:val="23"/>
          <w:szCs w:val="23"/>
        </w:rPr>
      </w:pPr>
      <w:r w:rsidRPr="00183434">
        <w:rPr>
          <w:rFonts w:cs="Arial"/>
          <w:sz w:val="23"/>
          <w:szCs w:val="23"/>
        </w:rPr>
        <w:t xml:space="preserve">The Council is responsible for collecting </w:t>
      </w:r>
      <w:r w:rsidR="00F61FC6" w:rsidRPr="00183434">
        <w:rPr>
          <w:rFonts w:cs="Arial"/>
          <w:sz w:val="23"/>
          <w:szCs w:val="23"/>
        </w:rPr>
        <w:t xml:space="preserve">business </w:t>
      </w:r>
      <w:r w:rsidRPr="00183434">
        <w:rPr>
          <w:rFonts w:cs="Arial"/>
          <w:sz w:val="23"/>
          <w:szCs w:val="23"/>
        </w:rPr>
        <w:t>rates due in its area</w:t>
      </w:r>
      <w:r w:rsidR="00B53EEF" w:rsidRPr="00183434">
        <w:rPr>
          <w:rFonts w:cs="Arial"/>
          <w:sz w:val="23"/>
          <w:szCs w:val="23"/>
        </w:rPr>
        <w:t>. In previous years the proceeds were paid into the</w:t>
      </w:r>
      <w:r w:rsidRPr="00183434">
        <w:rPr>
          <w:rFonts w:cs="Arial"/>
          <w:sz w:val="23"/>
          <w:szCs w:val="23"/>
        </w:rPr>
        <w:t xml:space="preserve"> N.N.D.R. Pool administered by the Governmen</w:t>
      </w:r>
      <w:r w:rsidR="00B53EEF" w:rsidRPr="00183434">
        <w:rPr>
          <w:rFonts w:cs="Arial"/>
          <w:sz w:val="23"/>
          <w:szCs w:val="23"/>
        </w:rPr>
        <w:t>t.  The Government redistributed</w:t>
      </w:r>
      <w:r w:rsidRPr="00183434">
        <w:rPr>
          <w:rFonts w:cs="Arial"/>
          <w:sz w:val="23"/>
          <w:szCs w:val="23"/>
        </w:rPr>
        <w:t xml:space="preserve"> the sums paid into the Pool back to local authorities through the Formula Grant process each year.</w:t>
      </w:r>
    </w:p>
    <w:p w14:paraId="311F1870" w14:textId="77777777" w:rsidR="00B53EEF" w:rsidRPr="00183434" w:rsidRDefault="00B53EEF" w:rsidP="00183434">
      <w:pPr>
        <w:ind w:left="720"/>
        <w:jc w:val="both"/>
        <w:rPr>
          <w:rFonts w:cs="Arial"/>
          <w:sz w:val="23"/>
          <w:szCs w:val="23"/>
        </w:rPr>
      </w:pPr>
    </w:p>
    <w:p w14:paraId="10F957AF" w14:textId="77777777" w:rsidR="00B53EEF" w:rsidRPr="00183434" w:rsidRDefault="00B53EEF" w:rsidP="00183434">
      <w:pPr>
        <w:ind w:left="720"/>
        <w:jc w:val="both"/>
        <w:rPr>
          <w:rFonts w:cs="Arial"/>
          <w:sz w:val="23"/>
          <w:szCs w:val="23"/>
        </w:rPr>
      </w:pPr>
      <w:r w:rsidRPr="00183434">
        <w:rPr>
          <w:rFonts w:cs="Arial"/>
          <w:sz w:val="23"/>
          <w:szCs w:val="23"/>
        </w:rPr>
        <w:t xml:space="preserve">From 2013/14, this has been replaced by the Business Rate Retention Scheme. Income collected is now shared between the Council, Central Government and major preceptors in proportions laid down by Government. Councils are now able to retain a share of any growth in business rate income. </w:t>
      </w:r>
    </w:p>
    <w:p w14:paraId="48A583A1" w14:textId="77777777" w:rsidR="00386757" w:rsidRPr="00183434" w:rsidRDefault="00386757" w:rsidP="00183434">
      <w:pPr>
        <w:jc w:val="both"/>
        <w:rPr>
          <w:rFonts w:cs="Arial"/>
          <w:sz w:val="23"/>
          <w:szCs w:val="23"/>
          <w:highlight w:val="cyan"/>
        </w:rPr>
      </w:pPr>
    </w:p>
    <w:p w14:paraId="10B79407" w14:textId="77777777" w:rsidR="00003B59" w:rsidRPr="00183434" w:rsidRDefault="00003B59" w:rsidP="00183434">
      <w:pPr>
        <w:ind w:left="720"/>
        <w:jc w:val="both"/>
        <w:rPr>
          <w:rFonts w:cs="Arial"/>
          <w:sz w:val="23"/>
          <w:szCs w:val="23"/>
        </w:rPr>
      </w:pPr>
      <w:r w:rsidRPr="00183434">
        <w:rPr>
          <w:rFonts w:cs="Arial"/>
          <w:sz w:val="23"/>
          <w:szCs w:val="23"/>
        </w:rPr>
        <w:t>With effect from 1</w:t>
      </w:r>
      <w:r w:rsidRPr="00183434">
        <w:rPr>
          <w:rFonts w:cs="Arial"/>
          <w:sz w:val="23"/>
          <w:szCs w:val="23"/>
          <w:vertAlign w:val="superscript"/>
        </w:rPr>
        <w:t>st</w:t>
      </w:r>
      <w:r w:rsidRPr="00183434">
        <w:rPr>
          <w:rFonts w:cs="Arial"/>
          <w:sz w:val="23"/>
          <w:szCs w:val="23"/>
        </w:rPr>
        <w:t xml:space="preserve"> April 2015, the Council became a member of the Derbyshire Business Rates Pool which is administered by Derby City Council. The advantage of the pool is that it creates an opportunity to generate additional business growth through </w:t>
      </w:r>
      <w:r w:rsidRPr="00183434">
        <w:rPr>
          <w:rFonts w:cs="Arial"/>
          <w:sz w:val="23"/>
          <w:szCs w:val="23"/>
        </w:rPr>
        <w:lastRenderedPageBreak/>
        <w:t xml:space="preserve">collaborative working and to smooth out the impact of volatility in business rates income across a wider economic area. </w:t>
      </w:r>
    </w:p>
    <w:p w14:paraId="6DB69087" w14:textId="77777777" w:rsidR="00003B59" w:rsidRPr="00183434" w:rsidRDefault="00003B59" w:rsidP="00183434">
      <w:pPr>
        <w:ind w:left="720"/>
        <w:jc w:val="both"/>
        <w:rPr>
          <w:rFonts w:cs="Arial"/>
          <w:sz w:val="23"/>
          <w:szCs w:val="23"/>
        </w:rPr>
      </w:pPr>
    </w:p>
    <w:p w14:paraId="0FD38FE5" w14:textId="77777777" w:rsidR="00003B59" w:rsidRPr="00183434" w:rsidRDefault="00003B59" w:rsidP="00183434">
      <w:pPr>
        <w:ind w:left="720"/>
        <w:jc w:val="both"/>
        <w:rPr>
          <w:rFonts w:cs="Arial"/>
          <w:sz w:val="23"/>
          <w:szCs w:val="23"/>
        </w:rPr>
      </w:pPr>
      <w:r w:rsidRPr="00183434">
        <w:rPr>
          <w:rFonts w:cs="Arial"/>
          <w:sz w:val="23"/>
          <w:szCs w:val="23"/>
        </w:rPr>
        <w:t>Under the accounting arrangements for the Derbyshire Pool, instead of each authority paying a proportion of their growth in business rates above a baseline to central government, it pays this levy to the pool and receives a redistribution of growth back from the pool at the end of each financial year.</w:t>
      </w:r>
    </w:p>
    <w:p w14:paraId="4243F99E" w14:textId="77777777" w:rsidR="00386757" w:rsidRPr="00183434" w:rsidRDefault="00386757" w:rsidP="00183434">
      <w:pPr>
        <w:jc w:val="both"/>
        <w:rPr>
          <w:rFonts w:cs="Arial"/>
          <w:sz w:val="23"/>
          <w:szCs w:val="23"/>
        </w:rPr>
      </w:pPr>
    </w:p>
    <w:p w14:paraId="44CBE96E" w14:textId="77777777" w:rsidR="00F457FB" w:rsidRPr="00183434" w:rsidRDefault="00F457FB" w:rsidP="00183434">
      <w:pPr>
        <w:jc w:val="both"/>
        <w:rPr>
          <w:rFonts w:cs="Arial"/>
          <w:sz w:val="23"/>
          <w:szCs w:val="23"/>
        </w:rPr>
      </w:pPr>
    </w:p>
    <w:p w14:paraId="5DC7024B" w14:textId="77777777" w:rsidR="00386757" w:rsidRPr="00183434" w:rsidRDefault="00386757" w:rsidP="00183434">
      <w:pPr>
        <w:numPr>
          <w:ilvl w:val="0"/>
          <w:numId w:val="3"/>
        </w:numPr>
        <w:jc w:val="both"/>
        <w:rPr>
          <w:rFonts w:cs="Arial"/>
          <w:sz w:val="23"/>
          <w:szCs w:val="23"/>
        </w:rPr>
      </w:pPr>
      <w:r w:rsidRPr="00183434">
        <w:rPr>
          <w:rFonts w:cs="Arial"/>
          <w:b/>
          <w:sz w:val="23"/>
          <w:szCs w:val="23"/>
          <w:u w:val="single"/>
        </w:rPr>
        <w:t>COLLECTION FUND SURPLUS/(DEFICIT)</w:t>
      </w:r>
      <w:r w:rsidR="00A7111C" w:rsidRPr="00183434">
        <w:rPr>
          <w:rFonts w:cs="Arial"/>
          <w:b/>
          <w:sz w:val="23"/>
          <w:szCs w:val="23"/>
          <w:u w:val="single"/>
        </w:rPr>
        <w:t xml:space="preserve"> – COUNCIL TAX</w:t>
      </w:r>
    </w:p>
    <w:p w14:paraId="36AFCF36" w14:textId="77777777" w:rsidR="00386757" w:rsidRPr="00183434" w:rsidRDefault="00386757" w:rsidP="00183434">
      <w:pPr>
        <w:jc w:val="both"/>
        <w:rPr>
          <w:rFonts w:cs="Arial"/>
          <w:sz w:val="23"/>
          <w:szCs w:val="23"/>
        </w:rPr>
      </w:pPr>
    </w:p>
    <w:p w14:paraId="0823B042" w14:textId="19B0A026" w:rsidR="00AE1302" w:rsidRPr="00183434" w:rsidRDefault="00AE1302" w:rsidP="00183434">
      <w:pPr>
        <w:ind w:left="720"/>
        <w:jc w:val="both"/>
        <w:rPr>
          <w:rFonts w:cs="Arial"/>
          <w:sz w:val="23"/>
          <w:szCs w:val="23"/>
          <w:highlight w:val="cyan"/>
        </w:rPr>
      </w:pPr>
      <w:r w:rsidRPr="00183434">
        <w:rPr>
          <w:rFonts w:cs="Arial"/>
          <w:sz w:val="23"/>
          <w:szCs w:val="23"/>
        </w:rPr>
        <w:t>Surpluses or deficits relating to the Council Tax are shared between Derbyshire County Council, Derbyshire Police &amp; Crime Commissioner, Derbyshire Fire Authority and the Borough Council in proportion to the precepts and demands issued and must be used to adjust the Council Tax.  An estimated surplus of £</w:t>
      </w:r>
      <w:r w:rsidR="00520EBB" w:rsidRPr="00183434">
        <w:rPr>
          <w:rFonts w:cs="Arial"/>
          <w:sz w:val="23"/>
          <w:szCs w:val="23"/>
        </w:rPr>
        <w:t>47</w:t>
      </w:r>
      <w:r w:rsidRPr="00183434">
        <w:rPr>
          <w:rFonts w:cs="Arial"/>
          <w:sz w:val="23"/>
          <w:szCs w:val="23"/>
        </w:rPr>
        <w:t>k was assumed when setting the Council Tax for 202</w:t>
      </w:r>
      <w:r w:rsidR="00704185" w:rsidRPr="00183434">
        <w:rPr>
          <w:rFonts w:cs="Arial"/>
          <w:sz w:val="23"/>
          <w:szCs w:val="23"/>
        </w:rPr>
        <w:t>5</w:t>
      </w:r>
      <w:r w:rsidRPr="00183434">
        <w:rPr>
          <w:rFonts w:cs="Arial"/>
          <w:sz w:val="23"/>
          <w:szCs w:val="23"/>
        </w:rPr>
        <w:t>/2</w:t>
      </w:r>
      <w:r w:rsidR="00704185" w:rsidRPr="00183434">
        <w:rPr>
          <w:rFonts w:cs="Arial"/>
          <w:sz w:val="23"/>
          <w:szCs w:val="23"/>
        </w:rPr>
        <w:t>6</w:t>
      </w:r>
      <w:r w:rsidRPr="00183434">
        <w:rPr>
          <w:rFonts w:cs="Arial"/>
          <w:sz w:val="23"/>
          <w:szCs w:val="23"/>
        </w:rPr>
        <w:t xml:space="preserve">. The </w:t>
      </w:r>
      <w:r w:rsidR="00520EBB" w:rsidRPr="00183434">
        <w:rPr>
          <w:rFonts w:cs="Arial"/>
          <w:sz w:val="23"/>
          <w:szCs w:val="23"/>
        </w:rPr>
        <w:t xml:space="preserve">reduction </w:t>
      </w:r>
      <w:r w:rsidRPr="00183434">
        <w:rPr>
          <w:rFonts w:cs="Arial"/>
          <w:sz w:val="23"/>
          <w:szCs w:val="23"/>
        </w:rPr>
        <w:t>in the outturn position of £</w:t>
      </w:r>
      <w:r w:rsidR="00520EBB" w:rsidRPr="00183434">
        <w:rPr>
          <w:rFonts w:cs="Arial"/>
          <w:sz w:val="23"/>
          <w:szCs w:val="23"/>
        </w:rPr>
        <w:t>55</w:t>
      </w:r>
      <w:r w:rsidRPr="00183434">
        <w:rPr>
          <w:rFonts w:cs="Arial"/>
          <w:sz w:val="23"/>
          <w:szCs w:val="23"/>
        </w:rPr>
        <w:t>K will be accounted for in the tax calculation for 202</w:t>
      </w:r>
      <w:r w:rsidR="00704185" w:rsidRPr="00183434">
        <w:rPr>
          <w:rFonts w:cs="Arial"/>
          <w:sz w:val="23"/>
          <w:szCs w:val="23"/>
        </w:rPr>
        <w:t>6</w:t>
      </w:r>
      <w:r w:rsidRPr="00183434">
        <w:rPr>
          <w:rFonts w:cs="Arial"/>
          <w:sz w:val="23"/>
          <w:szCs w:val="23"/>
        </w:rPr>
        <w:t>/2</w:t>
      </w:r>
      <w:r w:rsidR="00704185" w:rsidRPr="00183434">
        <w:rPr>
          <w:rFonts w:cs="Arial"/>
          <w:sz w:val="23"/>
          <w:szCs w:val="23"/>
        </w:rPr>
        <w:t>7</w:t>
      </w:r>
      <w:r w:rsidRPr="00183434">
        <w:rPr>
          <w:rFonts w:cs="Arial"/>
          <w:sz w:val="23"/>
          <w:szCs w:val="23"/>
        </w:rPr>
        <w:t>.</w:t>
      </w:r>
    </w:p>
    <w:p w14:paraId="3BC69DE2" w14:textId="77777777" w:rsidR="009B6D82" w:rsidRPr="00183434" w:rsidRDefault="009B6D82" w:rsidP="00183434">
      <w:pPr>
        <w:ind w:left="720"/>
        <w:jc w:val="both"/>
        <w:rPr>
          <w:rFonts w:cs="Arial"/>
          <w:sz w:val="23"/>
          <w:szCs w:val="23"/>
          <w:highlight w:val="cyan"/>
        </w:rPr>
      </w:pPr>
    </w:p>
    <w:p w14:paraId="4DA3ABF6" w14:textId="53951787" w:rsidR="009B6D82" w:rsidRPr="00183434" w:rsidRDefault="007D6E44" w:rsidP="00183434">
      <w:pPr>
        <w:ind w:left="709"/>
        <w:jc w:val="both"/>
        <w:rPr>
          <w:rFonts w:cs="Arial"/>
          <w:sz w:val="23"/>
          <w:szCs w:val="23"/>
          <w:highlight w:val="cyan"/>
        </w:rPr>
      </w:pPr>
      <w:r w:rsidRPr="00183434">
        <w:rPr>
          <w:rFonts w:cs="Arial"/>
          <w:sz w:val="23"/>
          <w:szCs w:val="23"/>
        </w:rPr>
        <w:object w:dxaOrig="7668" w:dyaOrig="2093" w14:anchorId="035CB8EA">
          <v:shape id="_x0000_i1122" type="#_x0000_t75" style="width:440.05pt;height:120.4pt" o:ole="">
            <v:imagedata r:id="rId213" o:title=""/>
          </v:shape>
          <o:OLEObject Type="Link" ProgID="Excel.Sheet.12" ShapeID="_x0000_i1122" DrawAspect="Content" r:id="rId214" UpdateMode="Always">
            <o:LinkType>EnhancedMetaFile</o:LinkType>
            <o:LockedField>false</o:LockedField>
            <o:FieldCodes>\* MERGEFORMAT</o:FieldCodes>
          </o:OLEObject>
        </w:object>
      </w:r>
    </w:p>
    <w:p w14:paraId="1B08D370" w14:textId="77777777" w:rsidR="00C13F77" w:rsidRPr="00183434" w:rsidRDefault="00C13F77" w:rsidP="00183434">
      <w:pPr>
        <w:ind w:left="709"/>
        <w:jc w:val="both"/>
        <w:rPr>
          <w:rFonts w:cs="Arial"/>
          <w:sz w:val="23"/>
          <w:szCs w:val="23"/>
        </w:rPr>
      </w:pPr>
    </w:p>
    <w:p w14:paraId="6E4BB320" w14:textId="0300D7B4" w:rsidR="00AE1302" w:rsidRPr="00183434" w:rsidRDefault="00AE1302" w:rsidP="00183434">
      <w:pPr>
        <w:ind w:left="720"/>
        <w:jc w:val="both"/>
        <w:rPr>
          <w:rFonts w:cs="Arial"/>
          <w:sz w:val="23"/>
          <w:szCs w:val="23"/>
        </w:rPr>
      </w:pPr>
      <w:r w:rsidRPr="00183434">
        <w:rPr>
          <w:rFonts w:cs="Arial"/>
          <w:sz w:val="23"/>
          <w:szCs w:val="23"/>
        </w:rPr>
        <w:t>The surplus attributed to Chesterfield Borough Council is initially included in the Comprehensive Income &amp; Expenditure Statement, although the element that is redistributed in the tax calculation in 202</w:t>
      </w:r>
      <w:r w:rsidR="00E47B63" w:rsidRPr="00183434">
        <w:rPr>
          <w:rFonts w:cs="Arial"/>
          <w:sz w:val="23"/>
          <w:szCs w:val="23"/>
        </w:rPr>
        <w:t>5</w:t>
      </w:r>
      <w:r w:rsidRPr="00183434">
        <w:rPr>
          <w:rFonts w:cs="Arial"/>
          <w:sz w:val="23"/>
          <w:szCs w:val="23"/>
        </w:rPr>
        <w:t>/2</w:t>
      </w:r>
      <w:r w:rsidR="00E47B63" w:rsidRPr="00183434">
        <w:rPr>
          <w:rFonts w:cs="Arial"/>
          <w:sz w:val="23"/>
          <w:szCs w:val="23"/>
        </w:rPr>
        <w:t>6</w:t>
      </w:r>
      <w:r w:rsidRPr="00183434">
        <w:rPr>
          <w:rFonts w:cs="Arial"/>
          <w:sz w:val="23"/>
          <w:szCs w:val="23"/>
        </w:rPr>
        <w:t xml:space="preserve"> is subsequently reversed out and included in the balance sheet as part of Unusable Reserves. The proportion of the collection fund attributable to the three precepting authorities is included in the accounts as a debtor.</w:t>
      </w:r>
    </w:p>
    <w:p w14:paraId="00478F89" w14:textId="77777777" w:rsidR="009B6D82" w:rsidRPr="00183434" w:rsidRDefault="009B6D82" w:rsidP="00183434">
      <w:pPr>
        <w:jc w:val="both"/>
        <w:rPr>
          <w:rFonts w:cs="Arial"/>
          <w:sz w:val="23"/>
          <w:szCs w:val="23"/>
          <w:highlight w:val="cyan"/>
        </w:rPr>
      </w:pPr>
    </w:p>
    <w:p w14:paraId="545A3B22" w14:textId="77777777" w:rsidR="009B24A4" w:rsidRPr="00183434" w:rsidRDefault="009B24A4" w:rsidP="00183434">
      <w:pPr>
        <w:jc w:val="both"/>
        <w:rPr>
          <w:rFonts w:cs="Arial"/>
          <w:sz w:val="23"/>
          <w:szCs w:val="23"/>
          <w:highlight w:val="cyan"/>
        </w:rPr>
      </w:pPr>
    </w:p>
    <w:p w14:paraId="249B6251" w14:textId="77777777" w:rsidR="00A7111C" w:rsidRPr="00183434" w:rsidRDefault="00A7111C" w:rsidP="00183434">
      <w:pPr>
        <w:numPr>
          <w:ilvl w:val="0"/>
          <w:numId w:val="3"/>
        </w:numPr>
        <w:jc w:val="both"/>
        <w:rPr>
          <w:rFonts w:cs="Arial"/>
          <w:sz w:val="23"/>
          <w:szCs w:val="23"/>
        </w:rPr>
      </w:pPr>
      <w:r w:rsidRPr="00183434">
        <w:rPr>
          <w:rFonts w:cs="Arial"/>
          <w:b/>
          <w:sz w:val="23"/>
          <w:szCs w:val="23"/>
          <w:u w:val="single"/>
        </w:rPr>
        <w:t xml:space="preserve">COLLECTION FUND SURPLUS/(DEFICIT) – BUSINESS RATES </w:t>
      </w:r>
    </w:p>
    <w:p w14:paraId="781792EA" w14:textId="77777777" w:rsidR="00A7111C" w:rsidRPr="00183434" w:rsidRDefault="00A7111C" w:rsidP="00183434">
      <w:pPr>
        <w:jc w:val="both"/>
        <w:rPr>
          <w:rFonts w:cs="Arial"/>
          <w:sz w:val="23"/>
          <w:szCs w:val="23"/>
        </w:rPr>
      </w:pPr>
    </w:p>
    <w:p w14:paraId="7438EC78" w14:textId="4F173405" w:rsidR="00AE1302" w:rsidRPr="00183434" w:rsidRDefault="00AE1302" w:rsidP="00183434">
      <w:pPr>
        <w:ind w:left="720"/>
        <w:jc w:val="both"/>
        <w:rPr>
          <w:rFonts w:cs="Arial"/>
          <w:sz w:val="23"/>
          <w:szCs w:val="23"/>
        </w:rPr>
      </w:pPr>
      <w:r w:rsidRPr="00183434">
        <w:rPr>
          <w:rFonts w:cs="Arial"/>
          <w:sz w:val="23"/>
          <w:szCs w:val="23"/>
        </w:rPr>
        <w:t>From 2013/14, surpluses or deficits relating to Business Rates are shared between Derbyshire County Council, Derbyshire Fire Authority, Central Government and the Borough Council in proportions fixed by Government. A deficit of £</w:t>
      </w:r>
      <w:r w:rsidR="00520EBB" w:rsidRPr="00183434">
        <w:rPr>
          <w:rFonts w:cs="Arial"/>
          <w:sz w:val="23"/>
          <w:szCs w:val="23"/>
        </w:rPr>
        <w:t>413</w:t>
      </w:r>
      <w:r w:rsidRPr="00183434">
        <w:rPr>
          <w:rFonts w:cs="Arial"/>
          <w:sz w:val="23"/>
          <w:szCs w:val="23"/>
        </w:rPr>
        <w:t>k was assumed in the calculation of business rate income in 2024/25. The reduction in deficit and subsequent surplus increase of £</w:t>
      </w:r>
      <w:r w:rsidR="00520EBB" w:rsidRPr="00183434">
        <w:rPr>
          <w:rFonts w:cs="Arial"/>
          <w:sz w:val="23"/>
          <w:szCs w:val="23"/>
        </w:rPr>
        <w:t>1,527</w:t>
      </w:r>
      <w:r w:rsidRPr="00183434">
        <w:rPr>
          <w:rFonts w:cs="Arial"/>
          <w:sz w:val="23"/>
          <w:szCs w:val="23"/>
        </w:rPr>
        <w:t>k will be distributed in the income calculation for 2025/26.</w:t>
      </w:r>
    </w:p>
    <w:p w14:paraId="13825DD1" w14:textId="77777777" w:rsidR="00B91526" w:rsidRPr="00183434" w:rsidRDefault="00B91526" w:rsidP="00183434">
      <w:pPr>
        <w:ind w:left="720"/>
        <w:jc w:val="both"/>
        <w:rPr>
          <w:rFonts w:cs="Arial"/>
          <w:sz w:val="23"/>
          <w:szCs w:val="23"/>
          <w:highlight w:val="cyan"/>
        </w:rPr>
      </w:pPr>
    </w:p>
    <w:p w14:paraId="0B55C663" w14:textId="19B467CB" w:rsidR="00AF02CA" w:rsidRPr="00183434" w:rsidRDefault="00E34485" w:rsidP="00183434">
      <w:pPr>
        <w:ind w:left="720"/>
        <w:jc w:val="both"/>
        <w:rPr>
          <w:rFonts w:cs="Arial"/>
          <w:sz w:val="23"/>
          <w:szCs w:val="23"/>
          <w:highlight w:val="cyan"/>
        </w:rPr>
      </w:pPr>
      <w:r w:rsidRPr="00183434">
        <w:rPr>
          <w:rFonts w:cs="Arial"/>
          <w:sz w:val="23"/>
          <w:szCs w:val="23"/>
        </w:rPr>
        <w:object w:dxaOrig="8006" w:dyaOrig="2343" w14:anchorId="0D47B8BB">
          <v:shape id="_x0000_i1123" type="#_x0000_t75" style="width:400.3pt;height:116.95pt" o:ole="">
            <v:imagedata r:id="rId215" o:title=""/>
          </v:shape>
          <o:OLEObject Type="Link" ProgID="Excel.Sheet.12" ShapeID="_x0000_i1123" DrawAspect="Content" r:id="rId216" UpdateMode="Always">
            <o:LinkType>EnhancedMetaFile</o:LinkType>
            <o:LockedField>false</o:LockedField>
            <o:FieldCodes>\* MERGEFORMAT</o:FieldCodes>
          </o:OLEObject>
        </w:object>
      </w:r>
    </w:p>
    <w:p w14:paraId="74A884ED" w14:textId="77777777" w:rsidR="00C13F77" w:rsidRPr="00183434" w:rsidRDefault="00C13F77" w:rsidP="00183434">
      <w:pPr>
        <w:ind w:left="720"/>
        <w:jc w:val="both"/>
        <w:rPr>
          <w:rFonts w:cs="Arial"/>
          <w:sz w:val="23"/>
          <w:szCs w:val="23"/>
          <w:highlight w:val="cyan"/>
        </w:rPr>
      </w:pPr>
    </w:p>
    <w:p w14:paraId="1D4E0EB5" w14:textId="77777777" w:rsidR="00AE1302" w:rsidRPr="00183434" w:rsidRDefault="00AE1302" w:rsidP="00183434">
      <w:pPr>
        <w:ind w:left="720"/>
        <w:jc w:val="both"/>
        <w:rPr>
          <w:rFonts w:cs="Arial"/>
          <w:sz w:val="23"/>
          <w:szCs w:val="23"/>
        </w:rPr>
      </w:pPr>
      <w:r w:rsidRPr="00183434">
        <w:rPr>
          <w:rFonts w:cs="Arial"/>
          <w:sz w:val="23"/>
          <w:szCs w:val="23"/>
        </w:rPr>
        <w:lastRenderedPageBreak/>
        <w:t>The deficit attributed to Chesterfield Borough Council is initially included in the Comprehensive Income &amp; Expenditure Statement, although the element that is redistributed is subsequently reversed out in the balance sheet as part of Unusable Reserves. The proportion of the collection fund attributable to the other recipients is included in the accounts as a creditor.</w:t>
      </w:r>
    </w:p>
    <w:p w14:paraId="2A1A3611" w14:textId="77777777" w:rsidR="00386757" w:rsidRPr="00183434" w:rsidRDefault="00386757" w:rsidP="00183434">
      <w:pPr>
        <w:jc w:val="both"/>
        <w:rPr>
          <w:rFonts w:cs="Arial"/>
          <w:sz w:val="23"/>
          <w:szCs w:val="23"/>
        </w:rPr>
      </w:pPr>
    </w:p>
    <w:p w14:paraId="4A98FD0C" w14:textId="77777777" w:rsidR="00386757" w:rsidRPr="00183434" w:rsidRDefault="00386757" w:rsidP="00183434">
      <w:pPr>
        <w:ind w:left="720"/>
        <w:jc w:val="both"/>
        <w:rPr>
          <w:rFonts w:cs="Arial"/>
          <w:sz w:val="23"/>
          <w:szCs w:val="23"/>
        </w:rPr>
      </w:pPr>
    </w:p>
    <w:p w14:paraId="6A3098F0" w14:textId="77777777" w:rsidR="00386757" w:rsidRPr="00183434" w:rsidRDefault="00386757" w:rsidP="00183434">
      <w:pPr>
        <w:numPr>
          <w:ilvl w:val="0"/>
          <w:numId w:val="3"/>
        </w:numPr>
        <w:jc w:val="both"/>
        <w:rPr>
          <w:rFonts w:cs="Arial"/>
          <w:b/>
          <w:sz w:val="23"/>
          <w:szCs w:val="23"/>
          <w:u w:val="single"/>
        </w:rPr>
      </w:pPr>
      <w:r w:rsidRPr="00183434">
        <w:rPr>
          <w:rFonts w:cs="Arial"/>
          <w:b/>
          <w:sz w:val="23"/>
          <w:szCs w:val="23"/>
          <w:u w:val="single"/>
        </w:rPr>
        <w:t>IMPAIRMENT OF DEBTS – WRITE OFFS &amp; ALLOWANCES</w:t>
      </w:r>
    </w:p>
    <w:p w14:paraId="65681863" w14:textId="77777777" w:rsidR="00386757" w:rsidRPr="00183434" w:rsidRDefault="00386757" w:rsidP="00183434">
      <w:pPr>
        <w:jc w:val="both"/>
        <w:rPr>
          <w:rFonts w:cs="Arial"/>
          <w:b/>
          <w:sz w:val="23"/>
          <w:szCs w:val="23"/>
          <w:highlight w:val="cyan"/>
          <w:u w:val="single"/>
        </w:rPr>
      </w:pPr>
    </w:p>
    <w:p w14:paraId="657C68B3" w14:textId="77777777" w:rsidR="00386757" w:rsidRPr="00183434" w:rsidRDefault="00386757" w:rsidP="00183434">
      <w:pPr>
        <w:ind w:left="720"/>
        <w:jc w:val="both"/>
        <w:rPr>
          <w:rFonts w:cs="Arial"/>
          <w:sz w:val="23"/>
          <w:szCs w:val="23"/>
        </w:rPr>
      </w:pPr>
      <w:r w:rsidRPr="00183434">
        <w:rPr>
          <w:rFonts w:cs="Arial"/>
          <w:sz w:val="23"/>
          <w:szCs w:val="23"/>
        </w:rPr>
        <w:t>The arrears</w:t>
      </w:r>
      <w:r w:rsidR="00492043" w:rsidRPr="00183434">
        <w:rPr>
          <w:rFonts w:cs="Arial"/>
          <w:sz w:val="23"/>
          <w:szCs w:val="23"/>
        </w:rPr>
        <w:t xml:space="preserve"> figure for Council Tax and Business Rates</w:t>
      </w:r>
      <w:r w:rsidRPr="00183434">
        <w:rPr>
          <w:rFonts w:cs="Arial"/>
          <w:sz w:val="23"/>
          <w:szCs w:val="23"/>
        </w:rPr>
        <w:t xml:space="preserve"> is disaggregated into an age profile with an assessment of the likelihood of recovery of the outstanding amounts for each year. This assessment is carried out using evidence of local patterns of collection and historical experience. </w:t>
      </w:r>
    </w:p>
    <w:p w14:paraId="70C999F4" w14:textId="77777777" w:rsidR="00386757" w:rsidRPr="00183434" w:rsidRDefault="00386757" w:rsidP="00183434">
      <w:pPr>
        <w:ind w:left="720"/>
        <w:jc w:val="both"/>
        <w:rPr>
          <w:rFonts w:cs="Arial"/>
          <w:sz w:val="23"/>
          <w:szCs w:val="23"/>
        </w:rPr>
      </w:pPr>
    </w:p>
    <w:p w14:paraId="01241A4F" w14:textId="77777777" w:rsidR="00386757" w:rsidRPr="00183434" w:rsidRDefault="00386757" w:rsidP="00183434">
      <w:pPr>
        <w:ind w:left="720"/>
        <w:jc w:val="both"/>
        <w:rPr>
          <w:rFonts w:cs="Arial"/>
          <w:sz w:val="23"/>
          <w:szCs w:val="23"/>
        </w:rPr>
      </w:pPr>
      <w:r w:rsidRPr="00183434">
        <w:rPr>
          <w:rFonts w:cs="Arial"/>
          <w:sz w:val="23"/>
          <w:szCs w:val="23"/>
        </w:rPr>
        <w:t>Individual assessments are carr</w:t>
      </w:r>
      <w:r w:rsidR="00492043" w:rsidRPr="00183434">
        <w:rPr>
          <w:rFonts w:cs="Arial"/>
          <w:sz w:val="23"/>
          <w:szCs w:val="23"/>
        </w:rPr>
        <w:t>ied out for council tax and business rate</w:t>
      </w:r>
      <w:r w:rsidRPr="00183434">
        <w:rPr>
          <w:rFonts w:cs="Arial"/>
          <w:sz w:val="23"/>
          <w:szCs w:val="23"/>
        </w:rPr>
        <w:t xml:space="preserve"> arrears to reflect the different types of </w:t>
      </w:r>
      <w:proofErr w:type="gramStart"/>
      <w:r w:rsidRPr="00183434">
        <w:rPr>
          <w:rFonts w:cs="Arial"/>
          <w:sz w:val="23"/>
          <w:szCs w:val="23"/>
        </w:rPr>
        <w:t>customer</w:t>
      </w:r>
      <w:proofErr w:type="gramEnd"/>
      <w:r w:rsidRPr="00183434">
        <w:rPr>
          <w:rFonts w:cs="Arial"/>
          <w:sz w:val="23"/>
          <w:szCs w:val="23"/>
        </w:rPr>
        <w:t xml:space="preserve"> and the different characteristics of each of these debt classifications.</w:t>
      </w:r>
    </w:p>
    <w:p w14:paraId="6111F521" w14:textId="77777777" w:rsidR="00386757" w:rsidRPr="00183434" w:rsidRDefault="00386757" w:rsidP="00183434">
      <w:pPr>
        <w:jc w:val="both"/>
        <w:rPr>
          <w:rFonts w:cs="Arial"/>
          <w:sz w:val="23"/>
          <w:szCs w:val="23"/>
        </w:rPr>
      </w:pPr>
    </w:p>
    <w:p w14:paraId="08F5E82E" w14:textId="77777777" w:rsidR="00827BBD" w:rsidRPr="008774E4" w:rsidRDefault="00386757" w:rsidP="00183434">
      <w:pPr>
        <w:ind w:left="720"/>
        <w:jc w:val="both"/>
        <w:rPr>
          <w:rFonts w:cs="Arial"/>
          <w:sz w:val="23"/>
          <w:szCs w:val="23"/>
        </w:rPr>
      </w:pPr>
      <w:r w:rsidRPr="00183434">
        <w:rPr>
          <w:rFonts w:cs="Arial"/>
          <w:sz w:val="23"/>
          <w:szCs w:val="23"/>
        </w:rPr>
        <w:t>The movements on the impairment provisions are shown below:</w:t>
      </w:r>
    </w:p>
    <w:p w14:paraId="5CD8EEF2" w14:textId="77777777" w:rsidR="00386757" w:rsidRPr="008774E4" w:rsidRDefault="00386757" w:rsidP="00183434">
      <w:pPr>
        <w:ind w:left="720"/>
        <w:jc w:val="both"/>
        <w:rPr>
          <w:rFonts w:cs="Arial"/>
          <w:sz w:val="23"/>
          <w:szCs w:val="23"/>
          <w:highlight w:val="cyan"/>
        </w:rPr>
      </w:pPr>
    </w:p>
    <w:p w14:paraId="0953A9A3" w14:textId="38FE90BE" w:rsidR="00386757" w:rsidRPr="008774E4" w:rsidRDefault="00E34485" w:rsidP="00183434">
      <w:pPr>
        <w:ind w:left="709"/>
        <w:jc w:val="both"/>
        <w:rPr>
          <w:rFonts w:cs="Arial"/>
          <w:sz w:val="23"/>
          <w:szCs w:val="23"/>
          <w:highlight w:val="cyan"/>
        </w:rPr>
      </w:pPr>
      <w:r w:rsidRPr="008774E4">
        <w:rPr>
          <w:rFonts w:cs="Arial"/>
          <w:sz w:val="23"/>
          <w:szCs w:val="23"/>
        </w:rPr>
        <w:object w:dxaOrig="7572" w:dyaOrig="2515" w14:anchorId="408C2A80">
          <v:shape id="_x0000_i1124" type="#_x0000_t75" style="width:378.45pt;height:125pt" o:ole="">
            <v:imagedata r:id="rId217" o:title=""/>
          </v:shape>
          <o:OLEObject Type="Link" ProgID="Excel.Sheet.12" ShapeID="_x0000_i1124" DrawAspect="Content" r:id="rId218" UpdateMode="Always">
            <o:LinkType>EnhancedMetaFile</o:LinkType>
            <o:LockedField>false</o:LockedField>
            <o:FieldCodes>\* MERGEFORMAT</o:FieldCodes>
          </o:OLEObject>
        </w:object>
      </w:r>
    </w:p>
    <w:p w14:paraId="699F7F05" w14:textId="77777777" w:rsidR="00386757" w:rsidRPr="00183434" w:rsidRDefault="00386757" w:rsidP="00183434">
      <w:pPr>
        <w:jc w:val="both"/>
        <w:rPr>
          <w:rFonts w:cs="Arial"/>
          <w:sz w:val="23"/>
          <w:szCs w:val="23"/>
          <w:highlight w:val="cyan"/>
        </w:rPr>
      </w:pPr>
    </w:p>
    <w:p w14:paraId="26D8D47C" w14:textId="77777777" w:rsidR="00827BBD" w:rsidRPr="00183434" w:rsidRDefault="00827BBD" w:rsidP="00183434">
      <w:pPr>
        <w:jc w:val="both"/>
        <w:rPr>
          <w:rFonts w:cs="Arial"/>
          <w:sz w:val="23"/>
          <w:szCs w:val="23"/>
          <w:highlight w:val="cyan"/>
        </w:rPr>
      </w:pPr>
    </w:p>
    <w:p w14:paraId="675C6193" w14:textId="77777777" w:rsidR="002A6A1E" w:rsidRPr="00183434" w:rsidRDefault="002A6A1E" w:rsidP="00183434">
      <w:pPr>
        <w:numPr>
          <w:ilvl w:val="0"/>
          <w:numId w:val="3"/>
        </w:numPr>
        <w:jc w:val="both"/>
        <w:rPr>
          <w:rFonts w:cs="Arial"/>
          <w:b/>
          <w:sz w:val="23"/>
          <w:szCs w:val="23"/>
          <w:u w:val="single"/>
        </w:rPr>
      </w:pPr>
      <w:r w:rsidRPr="00183434">
        <w:rPr>
          <w:rFonts w:cs="Arial"/>
          <w:b/>
          <w:sz w:val="23"/>
          <w:szCs w:val="23"/>
          <w:u w:val="single"/>
        </w:rPr>
        <w:t>PROVISION FOR APPEALS – BUSINESS RATES</w:t>
      </w:r>
    </w:p>
    <w:p w14:paraId="5E183E02" w14:textId="77777777" w:rsidR="002A6A1E" w:rsidRPr="00183434" w:rsidRDefault="002A6A1E" w:rsidP="00183434">
      <w:pPr>
        <w:jc w:val="both"/>
        <w:rPr>
          <w:rFonts w:cs="Arial"/>
          <w:b/>
          <w:sz w:val="23"/>
          <w:szCs w:val="23"/>
          <w:u w:val="single"/>
        </w:rPr>
      </w:pPr>
    </w:p>
    <w:p w14:paraId="630FCB5C" w14:textId="77777777" w:rsidR="002A6A1E" w:rsidRPr="00183434" w:rsidRDefault="002A6A1E" w:rsidP="00183434">
      <w:pPr>
        <w:ind w:left="720"/>
        <w:jc w:val="both"/>
        <w:rPr>
          <w:rFonts w:cs="Arial"/>
          <w:sz w:val="23"/>
          <w:szCs w:val="23"/>
        </w:rPr>
      </w:pPr>
      <w:r w:rsidRPr="00183434">
        <w:rPr>
          <w:rFonts w:cs="Arial"/>
          <w:sz w:val="23"/>
          <w:szCs w:val="23"/>
        </w:rPr>
        <w:t>Businesses can appeal against their rateable value, set by the Valuation Office Agency and any successful appeals must be met from the Collection Fund. A provision has been established to recognise this liability.</w:t>
      </w:r>
    </w:p>
    <w:p w14:paraId="6FF97331" w14:textId="77777777" w:rsidR="002A6A1E" w:rsidRPr="00183434" w:rsidRDefault="002A6A1E" w:rsidP="00183434">
      <w:pPr>
        <w:ind w:left="720"/>
        <w:jc w:val="both"/>
        <w:rPr>
          <w:rFonts w:cs="Arial"/>
          <w:sz w:val="23"/>
          <w:szCs w:val="23"/>
        </w:rPr>
      </w:pPr>
    </w:p>
    <w:p w14:paraId="4FC518C9" w14:textId="77777777" w:rsidR="002A6A1E" w:rsidRPr="00183434" w:rsidRDefault="00C23D62" w:rsidP="00183434">
      <w:pPr>
        <w:ind w:left="720"/>
        <w:jc w:val="both"/>
        <w:rPr>
          <w:rFonts w:cs="Arial"/>
          <w:sz w:val="23"/>
          <w:szCs w:val="23"/>
        </w:rPr>
      </w:pPr>
      <w:r w:rsidRPr="00183434">
        <w:rPr>
          <w:rFonts w:cs="Arial"/>
          <w:sz w:val="23"/>
          <w:szCs w:val="23"/>
        </w:rPr>
        <w:t>The movement on the appeals provision is</w:t>
      </w:r>
      <w:r w:rsidR="002A6A1E" w:rsidRPr="00183434">
        <w:rPr>
          <w:rFonts w:cs="Arial"/>
          <w:sz w:val="23"/>
          <w:szCs w:val="23"/>
        </w:rPr>
        <w:t xml:space="preserve"> shown below:</w:t>
      </w:r>
    </w:p>
    <w:p w14:paraId="5754A5C5" w14:textId="1B735ABD" w:rsidR="00F55682" w:rsidRPr="00183434" w:rsidRDefault="008774E4" w:rsidP="00183434">
      <w:pPr>
        <w:ind w:left="720"/>
        <w:jc w:val="both"/>
        <w:rPr>
          <w:rFonts w:cs="Arial"/>
          <w:sz w:val="23"/>
          <w:szCs w:val="23"/>
        </w:rPr>
      </w:pPr>
      <w:r w:rsidRPr="00183434">
        <w:rPr>
          <w:rFonts w:cs="Arial"/>
          <w:sz w:val="23"/>
          <w:szCs w:val="23"/>
        </w:rPr>
        <w:object w:dxaOrig="7114" w:dyaOrig="1558" w14:anchorId="4CD40C58">
          <v:shape id="_x0000_i1125" type="#_x0000_t75" style="width:380.15pt;height:82.95pt" o:ole="">
            <v:imagedata r:id="rId219" o:title=""/>
          </v:shape>
          <o:OLEObject Type="Link" ProgID="Excel.Sheet.12" ShapeID="_x0000_i1125" DrawAspect="Content" r:id="rId220" UpdateMode="Always">
            <o:LinkType>EnhancedMetaFile</o:LinkType>
            <o:LockedField>false</o:LockedField>
            <o:FieldCodes>\* MERGEFORMAT</o:FieldCodes>
          </o:OLEObject>
        </w:object>
      </w:r>
    </w:p>
    <w:p w14:paraId="65684CBB" w14:textId="77777777" w:rsidR="00320F9B" w:rsidRPr="00183434" w:rsidRDefault="00E03104" w:rsidP="00183434">
      <w:pPr>
        <w:jc w:val="both"/>
        <w:rPr>
          <w:rFonts w:cs="Arial"/>
          <w:sz w:val="23"/>
          <w:szCs w:val="23"/>
        </w:rPr>
      </w:pPr>
      <w:r w:rsidRPr="00183434">
        <w:rPr>
          <w:rFonts w:cs="Arial"/>
          <w:sz w:val="23"/>
          <w:szCs w:val="23"/>
        </w:rPr>
        <w:tab/>
      </w:r>
    </w:p>
    <w:p w14:paraId="6D549DCA" w14:textId="6A7DAFF2" w:rsidR="00386757" w:rsidRPr="00183434" w:rsidRDefault="00386757" w:rsidP="00183434">
      <w:pPr>
        <w:ind w:left="709"/>
        <w:jc w:val="both"/>
        <w:rPr>
          <w:rFonts w:cs="Arial"/>
          <w:b/>
          <w:sz w:val="23"/>
          <w:szCs w:val="23"/>
          <w:highlight w:val="cyan"/>
        </w:rPr>
      </w:pPr>
    </w:p>
    <w:p w14:paraId="623631E3" w14:textId="77777777" w:rsidR="00452987" w:rsidRPr="00183434" w:rsidRDefault="00452987" w:rsidP="00183434">
      <w:pPr>
        <w:ind w:left="709"/>
        <w:jc w:val="both"/>
        <w:rPr>
          <w:rFonts w:cs="Arial"/>
          <w:b/>
          <w:sz w:val="23"/>
          <w:szCs w:val="23"/>
        </w:rPr>
      </w:pPr>
    </w:p>
    <w:p w14:paraId="5424B3B2" w14:textId="77777777" w:rsidR="00386757" w:rsidRPr="00183434" w:rsidRDefault="00386757" w:rsidP="00183434">
      <w:pPr>
        <w:numPr>
          <w:ilvl w:val="0"/>
          <w:numId w:val="3"/>
        </w:numPr>
        <w:jc w:val="both"/>
        <w:rPr>
          <w:rFonts w:cs="Arial"/>
          <w:b/>
          <w:sz w:val="23"/>
          <w:szCs w:val="23"/>
          <w:u w:val="single"/>
        </w:rPr>
      </w:pPr>
      <w:r w:rsidRPr="00183434">
        <w:rPr>
          <w:rFonts w:cs="Arial"/>
          <w:b/>
          <w:sz w:val="23"/>
          <w:szCs w:val="23"/>
          <w:u w:val="single"/>
        </w:rPr>
        <w:t>PRECEPTS</w:t>
      </w:r>
    </w:p>
    <w:p w14:paraId="1F0E9287" w14:textId="77777777" w:rsidR="00386757" w:rsidRPr="00183434" w:rsidRDefault="00386757" w:rsidP="00183434">
      <w:pPr>
        <w:jc w:val="both"/>
        <w:rPr>
          <w:rFonts w:cs="Arial"/>
          <w:b/>
          <w:sz w:val="23"/>
          <w:szCs w:val="23"/>
        </w:rPr>
      </w:pPr>
    </w:p>
    <w:p w14:paraId="10F17FF4" w14:textId="5989C4FD" w:rsidR="00AE1302" w:rsidRPr="00183434" w:rsidRDefault="00AE1302" w:rsidP="00183434">
      <w:pPr>
        <w:ind w:left="720"/>
        <w:jc w:val="both"/>
        <w:rPr>
          <w:rFonts w:cs="Arial"/>
          <w:sz w:val="23"/>
          <w:szCs w:val="23"/>
        </w:rPr>
      </w:pPr>
      <w:bookmarkStart w:id="4" w:name="_Hlk206618174"/>
      <w:r w:rsidRPr="00183434">
        <w:rPr>
          <w:rFonts w:cs="Arial"/>
          <w:sz w:val="23"/>
          <w:szCs w:val="23"/>
        </w:rPr>
        <w:t>Details of the major precepts on the fund are shown in the expenditure section of the account. The precept paid to Chesterfield Borough Council includes £</w:t>
      </w:r>
      <w:r w:rsidR="00AC4E66" w:rsidRPr="00183434">
        <w:rPr>
          <w:rFonts w:cs="Arial"/>
          <w:sz w:val="23"/>
          <w:szCs w:val="23"/>
        </w:rPr>
        <w:t>629,402</w:t>
      </w:r>
      <w:r w:rsidRPr="00183434">
        <w:rPr>
          <w:rFonts w:cs="Arial"/>
          <w:sz w:val="23"/>
          <w:szCs w:val="23"/>
        </w:rPr>
        <w:t xml:space="preserve"> parish precepts (Staveley £</w:t>
      </w:r>
      <w:r w:rsidR="00AC4E66" w:rsidRPr="00183434">
        <w:rPr>
          <w:rFonts w:cs="Arial"/>
          <w:sz w:val="23"/>
          <w:szCs w:val="23"/>
        </w:rPr>
        <w:t>567,822</w:t>
      </w:r>
      <w:r w:rsidRPr="00183434">
        <w:rPr>
          <w:rFonts w:cs="Arial"/>
          <w:sz w:val="23"/>
          <w:szCs w:val="23"/>
        </w:rPr>
        <w:t xml:space="preserve"> and Brimington £</w:t>
      </w:r>
      <w:r w:rsidR="00AC4E66" w:rsidRPr="00183434">
        <w:rPr>
          <w:rFonts w:cs="Arial"/>
          <w:sz w:val="23"/>
          <w:szCs w:val="23"/>
        </w:rPr>
        <w:t>61,580</w:t>
      </w:r>
      <w:r w:rsidRPr="00183434">
        <w:rPr>
          <w:rFonts w:cs="Arial"/>
          <w:sz w:val="23"/>
          <w:szCs w:val="23"/>
        </w:rPr>
        <w:t>).</w:t>
      </w:r>
    </w:p>
    <w:bookmarkEnd w:id="4"/>
    <w:p w14:paraId="6B669AD5" w14:textId="77777777" w:rsidR="00386757" w:rsidRPr="00183434" w:rsidRDefault="00386757" w:rsidP="00183434">
      <w:pPr>
        <w:jc w:val="both"/>
        <w:rPr>
          <w:rFonts w:cs="Arial"/>
          <w:sz w:val="23"/>
          <w:szCs w:val="23"/>
        </w:rPr>
      </w:pPr>
    </w:p>
    <w:p w14:paraId="5A4EC4B4" w14:textId="77777777" w:rsidR="009B6D82" w:rsidRPr="00183434" w:rsidRDefault="009B6D82" w:rsidP="00183434">
      <w:pPr>
        <w:jc w:val="both"/>
        <w:rPr>
          <w:rFonts w:cs="Arial"/>
          <w:sz w:val="23"/>
          <w:szCs w:val="23"/>
          <w:highlight w:val="cyan"/>
        </w:rPr>
      </w:pPr>
    </w:p>
    <w:p w14:paraId="4779AEC1" w14:textId="77777777" w:rsidR="00EC5DA5" w:rsidRPr="00AE1302" w:rsidRDefault="00EC5DA5" w:rsidP="00EC5DA5">
      <w:pPr>
        <w:keepNext/>
        <w:pageBreakBefore/>
        <w:spacing w:after="360" w:line="276" w:lineRule="auto"/>
        <w:outlineLvl w:val="0"/>
        <w:rPr>
          <w:rFonts w:cs="Arial"/>
          <w:b/>
          <w:kern w:val="32"/>
          <w:sz w:val="36"/>
          <w:szCs w:val="32"/>
        </w:rPr>
      </w:pPr>
      <w:r w:rsidRPr="00AE1302">
        <w:rPr>
          <w:rFonts w:cs="Arial"/>
          <w:b/>
          <w:kern w:val="32"/>
          <w:sz w:val="36"/>
          <w:szCs w:val="32"/>
        </w:rPr>
        <w:lastRenderedPageBreak/>
        <w:t>Independent auditor’s report to the members of Chesterfield Borough Council</w:t>
      </w:r>
    </w:p>
    <w:p w14:paraId="2231FF2D" w14:textId="77777777" w:rsidR="00EC5DA5" w:rsidRPr="00AE1302" w:rsidRDefault="00EC5DA5" w:rsidP="00EC5DA5">
      <w:pPr>
        <w:spacing w:after="120" w:line="276" w:lineRule="auto"/>
        <w:rPr>
          <w:rFonts w:eastAsia="Swiss721BT-Bold" w:cs="Arial"/>
          <w:b/>
          <w:bCs/>
          <w:iCs/>
          <w:sz w:val="28"/>
          <w:szCs w:val="28"/>
        </w:rPr>
      </w:pPr>
      <w:r w:rsidRPr="00AE1302">
        <w:rPr>
          <w:rFonts w:eastAsia="Swiss721BT-Bold" w:cs="Arial"/>
          <w:b/>
          <w:bCs/>
          <w:iCs/>
          <w:sz w:val="28"/>
          <w:szCs w:val="28"/>
        </w:rPr>
        <w:t>Report on the audit of the financial statements</w:t>
      </w:r>
    </w:p>
    <w:p w14:paraId="5ED01D10" w14:textId="77777777" w:rsidR="00AE1302" w:rsidRPr="00183434" w:rsidRDefault="00AE1302" w:rsidP="00183434">
      <w:pPr>
        <w:spacing w:after="120" w:line="276" w:lineRule="auto"/>
        <w:jc w:val="both"/>
        <w:rPr>
          <w:rFonts w:eastAsia="Swiss721BT-Bold" w:cs="Arial"/>
          <w:b/>
          <w:bCs/>
          <w:iCs/>
          <w:sz w:val="23"/>
          <w:szCs w:val="23"/>
        </w:rPr>
      </w:pPr>
    </w:p>
    <w:p w14:paraId="713D6DC5" w14:textId="1513E059" w:rsidR="00AE1302" w:rsidRPr="00183434" w:rsidRDefault="00AE1302" w:rsidP="00183434">
      <w:pPr>
        <w:spacing w:after="120" w:line="276" w:lineRule="auto"/>
        <w:jc w:val="both"/>
        <w:rPr>
          <w:rFonts w:eastAsia="Swiss721BT-Bold" w:cs="Arial"/>
          <w:b/>
          <w:bCs/>
          <w:iCs/>
          <w:sz w:val="23"/>
          <w:szCs w:val="23"/>
          <w:highlight w:val="cyan"/>
        </w:rPr>
      </w:pPr>
    </w:p>
    <w:sectPr w:rsidR="00AE1302" w:rsidRPr="00183434">
      <w:type w:val="continuous"/>
      <w:pgSz w:w="11909" w:h="16834" w:code="9"/>
      <w:pgMar w:top="907" w:right="1195" w:bottom="1195" w:left="1195"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4DC7" w14:textId="77777777" w:rsidR="00BE2A03" w:rsidRDefault="00BE2A03">
      <w:r>
        <w:separator/>
      </w:r>
    </w:p>
  </w:endnote>
  <w:endnote w:type="continuationSeparator" w:id="0">
    <w:p w14:paraId="2A5527A4" w14:textId="77777777" w:rsidR="00BE2A03" w:rsidRDefault="00BE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S Lola">
    <w:altName w:val="Cambria"/>
    <w:panose1 w:val="00000000000000000000"/>
    <w:charset w:val="00"/>
    <w:family w:val="roman"/>
    <w:notTrueType/>
    <w:pitch w:val="default"/>
    <w:sig w:usb0="00000003" w:usb1="00000000" w:usb2="00000000" w:usb3="00000000" w:csb0="00000001" w:csb1="00000000"/>
  </w:font>
  <w:font w:name="OpenSans">
    <w:altName w:val="Cambria"/>
    <w:charset w:val="00"/>
    <w:family w:val="roman"/>
    <w:pitch w:val="default"/>
  </w:font>
  <w:font w:name="SymbolMT">
    <w:altName w:val="Cambria"/>
    <w:panose1 w:val="00000000000000000000"/>
    <w:charset w:val="00"/>
    <w:family w:val="roman"/>
    <w:notTrueType/>
    <w:pitch w:val="default"/>
  </w:font>
  <w:font w:name="Swis721 BT">
    <w:altName w:val="Arial"/>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wiss721BT-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9660" w14:textId="77777777" w:rsidR="00275517" w:rsidRDefault="00275517">
    <w:pPr>
      <w:pStyle w:val="Foot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55</w:t>
    </w:r>
    <w:r>
      <w:rPr>
        <w:rStyle w:val="PageNumber"/>
        <w:sz w:val="23"/>
      </w:rPr>
      <w:fldChar w:fldCharType="end"/>
    </w:r>
  </w:p>
  <w:p w14:paraId="6FACBFCF" w14:textId="77777777" w:rsidR="00275517" w:rsidRDefault="00275517">
    <w:pPr>
      <w:pStyle w:val="Footer"/>
      <w:ind w:right="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DA7F" w14:textId="77777777" w:rsidR="00275517" w:rsidRDefault="00275517">
    <w:pPr>
      <w:pStyle w:val="Footer"/>
      <w:framePr w:wrap="around" w:vAnchor="text" w:hAnchor="margin" w:xAlign="center" w:y="1"/>
      <w:rPr>
        <w:rStyle w:val="PageNumber"/>
        <w:sz w:val="23"/>
      </w:rPr>
    </w:pPr>
  </w:p>
  <w:p w14:paraId="0DFA0345" w14:textId="77777777" w:rsidR="00275517" w:rsidRDefault="00275517">
    <w:pPr>
      <w:pStyle w:val="Footer"/>
      <w:jc w:val="center"/>
      <w:rPr>
        <w:sz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908C" w14:textId="77777777" w:rsidR="00275517" w:rsidRDefault="00275517">
    <w:pPr>
      <w:pStyle w:val="Footer"/>
      <w:jc w:val="center"/>
      <w:rPr>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B938" w14:textId="77777777" w:rsidR="00275517" w:rsidRDefault="00275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4FF65536" w14:textId="77777777" w:rsidR="00275517" w:rsidRDefault="00275517">
    <w:pPr>
      <w:pStyle w:val="Footer"/>
      <w:rPr>
        <w:sz w:val="23"/>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1D74" w14:textId="77777777" w:rsidR="00BE2A03" w:rsidRDefault="00BE2A03">
      <w:r>
        <w:separator/>
      </w:r>
    </w:p>
  </w:footnote>
  <w:footnote w:type="continuationSeparator" w:id="0">
    <w:p w14:paraId="2C0B236E" w14:textId="77777777" w:rsidR="00BE2A03" w:rsidRDefault="00BE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9883" w14:textId="77777777" w:rsidR="00275517" w:rsidRDefault="00275517">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9A5B1C"/>
    <w:lvl w:ilvl="0">
      <w:start w:val="1"/>
      <w:numFmt w:val="decimal"/>
      <w:pStyle w:val="ListNumber"/>
      <w:lvlText w:val="%1."/>
      <w:lvlJc w:val="left"/>
      <w:pPr>
        <w:tabs>
          <w:tab w:val="num" w:pos="360"/>
        </w:tabs>
        <w:ind w:left="360" w:hanging="360"/>
      </w:pPr>
    </w:lvl>
  </w:abstractNum>
  <w:abstractNum w:abstractNumId="1" w15:restartNumberingAfterBreak="0">
    <w:nsid w:val="00283C7D"/>
    <w:multiLevelType w:val="hybridMultilevel"/>
    <w:tmpl w:val="B058C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56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371FA2"/>
    <w:multiLevelType w:val="multilevel"/>
    <w:tmpl w:val="DB08549C"/>
    <w:lvl w:ilvl="0">
      <w:start w:val="14"/>
      <w:numFmt w:val="decimal"/>
      <w:lvlText w:val="%1"/>
      <w:lvlJc w:val="left"/>
      <w:pPr>
        <w:ind w:left="840" w:hanging="665"/>
      </w:pPr>
      <w:rPr>
        <w:lang w:val="en-US" w:eastAsia="en-US" w:bidi="ar-SA"/>
      </w:rPr>
    </w:lvl>
    <w:lvl w:ilvl="1">
      <w:start w:val="3"/>
      <w:numFmt w:val="decimal"/>
      <w:lvlText w:val="%1.%2"/>
      <w:lvlJc w:val="left"/>
      <w:pPr>
        <w:ind w:left="840" w:hanging="665"/>
      </w:pPr>
      <w:rPr>
        <w:rFonts w:ascii="Arial" w:eastAsia="Arial" w:hAnsi="Arial" w:cs="Arial" w:hint="default"/>
        <w:b w:val="0"/>
        <w:bCs w:val="0"/>
        <w:i w:val="0"/>
        <w:iCs w:val="0"/>
        <w:spacing w:val="-2"/>
        <w:w w:val="103"/>
        <w:sz w:val="18"/>
        <w:szCs w:val="18"/>
        <w:lang w:val="en-US" w:eastAsia="en-US" w:bidi="ar-SA"/>
      </w:rPr>
    </w:lvl>
    <w:lvl w:ilvl="2">
      <w:start w:val="1"/>
      <w:numFmt w:val="lowerLetter"/>
      <w:lvlText w:val="%3)"/>
      <w:lvlJc w:val="left"/>
      <w:pPr>
        <w:ind w:left="1179" w:hanging="339"/>
      </w:pPr>
      <w:rPr>
        <w:rFonts w:ascii="Arial" w:eastAsia="Arial" w:hAnsi="Arial" w:cs="Arial" w:hint="default"/>
        <w:b w:val="0"/>
        <w:bCs w:val="0"/>
        <w:i w:val="0"/>
        <w:iCs w:val="0"/>
        <w:spacing w:val="-2"/>
        <w:w w:val="103"/>
        <w:sz w:val="18"/>
        <w:szCs w:val="18"/>
        <w:lang w:val="en-US" w:eastAsia="en-US" w:bidi="ar-SA"/>
      </w:rPr>
    </w:lvl>
    <w:lvl w:ilvl="3">
      <w:numFmt w:val="bullet"/>
      <w:lvlText w:val="•"/>
      <w:lvlJc w:val="left"/>
      <w:pPr>
        <w:ind w:left="3104" w:hanging="339"/>
      </w:pPr>
      <w:rPr>
        <w:lang w:val="en-US" w:eastAsia="en-US" w:bidi="ar-SA"/>
      </w:rPr>
    </w:lvl>
    <w:lvl w:ilvl="4">
      <w:numFmt w:val="bullet"/>
      <w:lvlText w:val="•"/>
      <w:lvlJc w:val="left"/>
      <w:pPr>
        <w:ind w:left="4066" w:hanging="339"/>
      </w:pPr>
      <w:rPr>
        <w:lang w:val="en-US" w:eastAsia="en-US" w:bidi="ar-SA"/>
      </w:rPr>
    </w:lvl>
    <w:lvl w:ilvl="5">
      <w:numFmt w:val="bullet"/>
      <w:lvlText w:val="•"/>
      <w:lvlJc w:val="left"/>
      <w:pPr>
        <w:ind w:left="5028" w:hanging="339"/>
      </w:pPr>
      <w:rPr>
        <w:lang w:val="en-US" w:eastAsia="en-US" w:bidi="ar-SA"/>
      </w:rPr>
    </w:lvl>
    <w:lvl w:ilvl="6">
      <w:numFmt w:val="bullet"/>
      <w:lvlText w:val="•"/>
      <w:lvlJc w:val="left"/>
      <w:pPr>
        <w:ind w:left="5991" w:hanging="339"/>
      </w:pPr>
      <w:rPr>
        <w:lang w:val="en-US" w:eastAsia="en-US" w:bidi="ar-SA"/>
      </w:rPr>
    </w:lvl>
    <w:lvl w:ilvl="7">
      <w:numFmt w:val="bullet"/>
      <w:lvlText w:val="•"/>
      <w:lvlJc w:val="left"/>
      <w:pPr>
        <w:ind w:left="6953" w:hanging="339"/>
      </w:pPr>
      <w:rPr>
        <w:lang w:val="en-US" w:eastAsia="en-US" w:bidi="ar-SA"/>
      </w:rPr>
    </w:lvl>
    <w:lvl w:ilvl="8">
      <w:numFmt w:val="bullet"/>
      <w:lvlText w:val="•"/>
      <w:lvlJc w:val="left"/>
      <w:pPr>
        <w:ind w:left="7915" w:hanging="339"/>
      </w:pPr>
      <w:rPr>
        <w:lang w:val="en-US" w:eastAsia="en-US" w:bidi="ar-SA"/>
      </w:rPr>
    </w:lvl>
  </w:abstractNum>
  <w:abstractNum w:abstractNumId="4" w15:restartNumberingAfterBreak="0">
    <w:nsid w:val="0BD51517"/>
    <w:multiLevelType w:val="hybridMultilevel"/>
    <w:tmpl w:val="A3BE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C5C53"/>
    <w:multiLevelType w:val="hybridMultilevel"/>
    <w:tmpl w:val="5492E170"/>
    <w:lvl w:ilvl="0" w:tplc="D110EC50">
      <w:start w:val="1"/>
      <w:numFmt w:val="bullet"/>
      <w:lvlText w:val=""/>
      <w:lvlJc w:val="left"/>
      <w:pPr>
        <w:tabs>
          <w:tab w:val="num" w:pos="1140"/>
        </w:tabs>
        <w:ind w:left="1140" w:hanging="360"/>
      </w:pPr>
      <w:rPr>
        <w:rFonts w:ascii="Symbol" w:hAnsi="Symbol" w:hint="default"/>
        <w:sz w:val="16"/>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C1D55AD"/>
    <w:multiLevelType w:val="hybridMultilevel"/>
    <w:tmpl w:val="4422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E0979"/>
    <w:multiLevelType w:val="multilevel"/>
    <w:tmpl w:val="4152534A"/>
    <w:lvl w:ilvl="0">
      <w:start w:val="1"/>
      <w:numFmt w:val="decimal"/>
      <w:lvlText w:val="%1"/>
      <w:lvlJc w:val="left"/>
      <w:pPr>
        <w:ind w:left="456" w:hanging="456"/>
      </w:pPr>
      <w:rPr>
        <w:rFonts w:hint="default"/>
      </w:rPr>
    </w:lvl>
    <w:lvl w:ilvl="1">
      <w:start w:val="2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4C6082"/>
    <w:multiLevelType w:val="hybridMultilevel"/>
    <w:tmpl w:val="5FFA6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DEA6F39"/>
    <w:multiLevelType w:val="hybridMultilevel"/>
    <w:tmpl w:val="7D7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359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1312F8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174450A"/>
    <w:multiLevelType w:val="hybridMultilevel"/>
    <w:tmpl w:val="C37A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82215"/>
    <w:multiLevelType w:val="hybridMultilevel"/>
    <w:tmpl w:val="61CA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342EDA"/>
    <w:multiLevelType w:val="hybridMultilevel"/>
    <w:tmpl w:val="2A3A62B2"/>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15" w15:restartNumberingAfterBreak="0">
    <w:nsid w:val="176106AE"/>
    <w:multiLevelType w:val="singleLevel"/>
    <w:tmpl w:val="D110EC5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B6402BF"/>
    <w:multiLevelType w:val="singleLevel"/>
    <w:tmpl w:val="F148132E"/>
    <w:lvl w:ilvl="0">
      <w:start w:val="14"/>
      <w:numFmt w:val="bullet"/>
      <w:lvlText w:val="-"/>
      <w:lvlJc w:val="left"/>
      <w:pPr>
        <w:tabs>
          <w:tab w:val="num" w:pos="720"/>
        </w:tabs>
        <w:ind w:left="720" w:hanging="720"/>
      </w:pPr>
      <w:rPr>
        <w:rFonts w:ascii="Times New Roman" w:hAnsi="Times New Roman" w:hint="default"/>
      </w:rPr>
    </w:lvl>
  </w:abstractNum>
  <w:abstractNum w:abstractNumId="17" w15:restartNumberingAfterBreak="0">
    <w:nsid w:val="1E001697"/>
    <w:multiLevelType w:val="singleLevel"/>
    <w:tmpl w:val="467673D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2A6349"/>
    <w:multiLevelType w:val="hybridMultilevel"/>
    <w:tmpl w:val="A5543A16"/>
    <w:lvl w:ilvl="0" w:tplc="0809000F">
      <w:start w:val="2"/>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61644D1"/>
    <w:multiLevelType w:val="hybridMultilevel"/>
    <w:tmpl w:val="90046F2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8B72FBE"/>
    <w:multiLevelType w:val="hybridMultilevel"/>
    <w:tmpl w:val="EF702698"/>
    <w:lvl w:ilvl="0" w:tplc="08090001">
      <w:start w:val="1"/>
      <w:numFmt w:val="bullet"/>
      <w:lvlText w:val=""/>
      <w:lvlJc w:val="left"/>
      <w:pPr>
        <w:ind w:left="1575" w:hanging="360"/>
      </w:pPr>
      <w:rPr>
        <w:rFonts w:ascii="Symbol" w:hAnsi="Symbol" w:hint="default"/>
      </w:rPr>
    </w:lvl>
    <w:lvl w:ilvl="1" w:tplc="FFFFFFFF">
      <w:start w:val="1"/>
      <w:numFmt w:val="bullet"/>
      <w:lvlText w:val="o"/>
      <w:lvlJc w:val="left"/>
      <w:pPr>
        <w:ind w:left="2295" w:hanging="360"/>
      </w:pPr>
      <w:rPr>
        <w:rFonts w:ascii="Courier New" w:hAnsi="Courier New" w:cs="Courier New" w:hint="default"/>
      </w:rPr>
    </w:lvl>
    <w:lvl w:ilvl="2" w:tplc="FFFFFFFF" w:tentative="1">
      <w:start w:val="1"/>
      <w:numFmt w:val="bullet"/>
      <w:lvlText w:val=""/>
      <w:lvlJc w:val="left"/>
      <w:pPr>
        <w:ind w:left="3015" w:hanging="360"/>
      </w:pPr>
      <w:rPr>
        <w:rFonts w:ascii="Wingdings" w:hAnsi="Wingdings" w:hint="default"/>
      </w:rPr>
    </w:lvl>
    <w:lvl w:ilvl="3" w:tplc="FFFFFFFF" w:tentative="1">
      <w:start w:val="1"/>
      <w:numFmt w:val="bullet"/>
      <w:lvlText w:val=""/>
      <w:lvlJc w:val="left"/>
      <w:pPr>
        <w:ind w:left="3735" w:hanging="360"/>
      </w:pPr>
      <w:rPr>
        <w:rFonts w:ascii="Symbol" w:hAnsi="Symbol" w:hint="default"/>
      </w:rPr>
    </w:lvl>
    <w:lvl w:ilvl="4" w:tplc="FFFFFFFF" w:tentative="1">
      <w:start w:val="1"/>
      <w:numFmt w:val="bullet"/>
      <w:lvlText w:val="o"/>
      <w:lvlJc w:val="left"/>
      <w:pPr>
        <w:ind w:left="4455" w:hanging="360"/>
      </w:pPr>
      <w:rPr>
        <w:rFonts w:ascii="Courier New" w:hAnsi="Courier New" w:cs="Courier New" w:hint="default"/>
      </w:rPr>
    </w:lvl>
    <w:lvl w:ilvl="5" w:tplc="FFFFFFFF" w:tentative="1">
      <w:start w:val="1"/>
      <w:numFmt w:val="bullet"/>
      <w:lvlText w:val=""/>
      <w:lvlJc w:val="left"/>
      <w:pPr>
        <w:ind w:left="5175" w:hanging="360"/>
      </w:pPr>
      <w:rPr>
        <w:rFonts w:ascii="Wingdings" w:hAnsi="Wingdings" w:hint="default"/>
      </w:rPr>
    </w:lvl>
    <w:lvl w:ilvl="6" w:tplc="FFFFFFFF" w:tentative="1">
      <w:start w:val="1"/>
      <w:numFmt w:val="bullet"/>
      <w:lvlText w:val=""/>
      <w:lvlJc w:val="left"/>
      <w:pPr>
        <w:ind w:left="5895" w:hanging="360"/>
      </w:pPr>
      <w:rPr>
        <w:rFonts w:ascii="Symbol" w:hAnsi="Symbol" w:hint="default"/>
      </w:rPr>
    </w:lvl>
    <w:lvl w:ilvl="7" w:tplc="FFFFFFFF" w:tentative="1">
      <w:start w:val="1"/>
      <w:numFmt w:val="bullet"/>
      <w:lvlText w:val="o"/>
      <w:lvlJc w:val="left"/>
      <w:pPr>
        <w:ind w:left="6615" w:hanging="360"/>
      </w:pPr>
      <w:rPr>
        <w:rFonts w:ascii="Courier New" w:hAnsi="Courier New" w:cs="Courier New" w:hint="default"/>
      </w:rPr>
    </w:lvl>
    <w:lvl w:ilvl="8" w:tplc="FFFFFFFF" w:tentative="1">
      <w:start w:val="1"/>
      <w:numFmt w:val="bullet"/>
      <w:lvlText w:val=""/>
      <w:lvlJc w:val="left"/>
      <w:pPr>
        <w:ind w:left="7335" w:hanging="360"/>
      </w:pPr>
      <w:rPr>
        <w:rFonts w:ascii="Wingdings" w:hAnsi="Wingdings" w:hint="default"/>
      </w:rPr>
    </w:lvl>
  </w:abstractNum>
  <w:abstractNum w:abstractNumId="21" w15:restartNumberingAfterBreak="0">
    <w:nsid w:val="28EE6BE0"/>
    <w:multiLevelType w:val="hybridMultilevel"/>
    <w:tmpl w:val="92BE0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9A60E46"/>
    <w:multiLevelType w:val="hybridMultilevel"/>
    <w:tmpl w:val="A71EB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A826985"/>
    <w:multiLevelType w:val="hybridMultilevel"/>
    <w:tmpl w:val="E6C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8B322B"/>
    <w:multiLevelType w:val="singleLevel"/>
    <w:tmpl w:val="467673D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BC02298"/>
    <w:multiLevelType w:val="hybridMultilevel"/>
    <w:tmpl w:val="A16EA25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30AB4873"/>
    <w:multiLevelType w:val="hybridMultilevel"/>
    <w:tmpl w:val="3A94A8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30C3696A"/>
    <w:multiLevelType w:val="hybridMultilevel"/>
    <w:tmpl w:val="0FAC8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3D526C3"/>
    <w:multiLevelType w:val="singleLevel"/>
    <w:tmpl w:val="D110EC50"/>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3C9F54E2"/>
    <w:multiLevelType w:val="hybridMultilevel"/>
    <w:tmpl w:val="6792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5C2574"/>
    <w:multiLevelType w:val="hybridMultilevel"/>
    <w:tmpl w:val="BD52A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920920"/>
    <w:multiLevelType w:val="hybridMultilevel"/>
    <w:tmpl w:val="8474E4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33F0928"/>
    <w:multiLevelType w:val="hybridMultilevel"/>
    <w:tmpl w:val="A9549262"/>
    <w:lvl w:ilvl="0" w:tplc="1C3A34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894C7E"/>
    <w:multiLevelType w:val="hybridMultilevel"/>
    <w:tmpl w:val="81286C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5AA42A2"/>
    <w:multiLevelType w:val="hybridMultilevel"/>
    <w:tmpl w:val="F31E7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92C6D84"/>
    <w:multiLevelType w:val="hybridMultilevel"/>
    <w:tmpl w:val="6C1C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07023D"/>
    <w:multiLevelType w:val="singleLevel"/>
    <w:tmpl w:val="467673D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CA21988"/>
    <w:multiLevelType w:val="hybridMultilevel"/>
    <w:tmpl w:val="3F5AA9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8" w15:restartNumberingAfterBreak="0">
    <w:nsid w:val="4EC40B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ECC214E"/>
    <w:multiLevelType w:val="hybridMultilevel"/>
    <w:tmpl w:val="090C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16798"/>
    <w:multiLevelType w:val="singleLevel"/>
    <w:tmpl w:val="D110EC50"/>
    <w:lvl w:ilvl="0">
      <w:start w:val="1"/>
      <w:numFmt w:val="bullet"/>
      <w:lvlText w:val=""/>
      <w:lvlJc w:val="left"/>
      <w:pPr>
        <w:tabs>
          <w:tab w:val="num" w:pos="360"/>
        </w:tabs>
        <w:ind w:left="360" w:hanging="360"/>
      </w:pPr>
      <w:rPr>
        <w:rFonts w:ascii="Symbol" w:hAnsi="Symbol" w:hint="default"/>
        <w:sz w:val="16"/>
      </w:rPr>
    </w:lvl>
  </w:abstractNum>
  <w:abstractNum w:abstractNumId="41" w15:restartNumberingAfterBreak="0">
    <w:nsid w:val="503253EF"/>
    <w:multiLevelType w:val="hybridMultilevel"/>
    <w:tmpl w:val="EBA605DA"/>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2" w15:restartNumberingAfterBreak="0">
    <w:nsid w:val="50D7207E"/>
    <w:multiLevelType w:val="hybridMultilevel"/>
    <w:tmpl w:val="6E926A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2892745"/>
    <w:multiLevelType w:val="hybridMultilevel"/>
    <w:tmpl w:val="8F4A9ED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1">
      <w:start w:val="1"/>
      <w:numFmt w:val="bullet"/>
      <w:lvlText w:val=""/>
      <w:lvlJc w:val="left"/>
      <w:pPr>
        <w:tabs>
          <w:tab w:val="num" w:pos="2880"/>
        </w:tabs>
        <w:ind w:left="2880" w:hanging="360"/>
      </w:pPr>
      <w:rPr>
        <w:rFonts w:ascii="Symbol" w:hAnsi="Symbol"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4D66177"/>
    <w:multiLevelType w:val="hybridMultilevel"/>
    <w:tmpl w:val="CF56B2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6705E23"/>
    <w:multiLevelType w:val="singleLevel"/>
    <w:tmpl w:val="467673D8"/>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D2F21CC"/>
    <w:multiLevelType w:val="singleLevel"/>
    <w:tmpl w:val="0B644EB4"/>
    <w:lvl w:ilvl="0">
      <w:start w:val="1"/>
      <w:numFmt w:val="decimal"/>
      <w:lvlText w:val="%1."/>
      <w:lvlJc w:val="left"/>
      <w:pPr>
        <w:tabs>
          <w:tab w:val="num" w:pos="720"/>
        </w:tabs>
        <w:ind w:left="720" w:hanging="720"/>
      </w:pPr>
      <w:rPr>
        <w:rFonts w:hint="default"/>
        <w:b/>
        <w:u w:val="none"/>
      </w:rPr>
    </w:lvl>
  </w:abstractNum>
  <w:abstractNum w:abstractNumId="47" w15:restartNumberingAfterBreak="0">
    <w:nsid w:val="5DA709F3"/>
    <w:multiLevelType w:val="hybridMultilevel"/>
    <w:tmpl w:val="9B5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574703"/>
    <w:multiLevelType w:val="singleLevel"/>
    <w:tmpl w:val="467673D8"/>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066702E"/>
    <w:multiLevelType w:val="hybridMultilevel"/>
    <w:tmpl w:val="A4DC2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17C2200"/>
    <w:multiLevelType w:val="hybridMultilevel"/>
    <w:tmpl w:val="260A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B336A3"/>
    <w:multiLevelType w:val="hybridMultilevel"/>
    <w:tmpl w:val="76DC4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3015FD9"/>
    <w:multiLevelType w:val="hybridMultilevel"/>
    <w:tmpl w:val="E4982A5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CE05BB"/>
    <w:multiLevelType w:val="hybridMultilevel"/>
    <w:tmpl w:val="FA04F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57B600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7A61590"/>
    <w:multiLevelType w:val="hybridMultilevel"/>
    <w:tmpl w:val="CA745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99668F8"/>
    <w:multiLevelType w:val="hybridMultilevel"/>
    <w:tmpl w:val="A7445B6C"/>
    <w:lvl w:ilvl="0" w:tplc="897AAE20">
      <w:start w:val="1"/>
      <w:numFmt w:val="bullet"/>
      <w:pStyle w:val="Bullet1"/>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3842A0"/>
    <w:multiLevelType w:val="singleLevel"/>
    <w:tmpl w:val="4C2A5E5A"/>
    <w:lvl w:ilvl="0">
      <w:start w:val="1"/>
      <w:numFmt w:val="decimal"/>
      <w:lvlText w:val="%1."/>
      <w:lvlJc w:val="left"/>
      <w:pPr>
        <w:tabs>
          <w:tab w:val="num" w:pos="444"/>
        </w:tabs>
        <w:ind w:left="444" w:hanging="444"/>
      </w:pPr>
      <w:rPr>
        <w:rFonts w:hint="default"/>
      </w:rPr>
    </w:lvl>
  </w:abstractNum>
  <w:abstractNum w:abstractNumId="58" w15:restartNumberingAfterBreak="0">
    <w:nsid w:val="6D7D22B3"/>
    <w:multiLevelType w:val="hybridMultilevel"/>
    <w:tmpl w:val="C7A24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1BB5D5D"/>
    <w:multiLevelType w:val="singleLevel"/>
    <w:tmpl w:val="E012D848"/>
    <w:lvl w:ilvl="0">
      <w:start w:val="1"/>
      <w:numFmt w:val="bullet"/>
      <w:pStyle w:val="TOC6"/>
      <w:lvlText w:val=""/>
      <w:lvlJc w:val="left"/>
      <w:pPr>
        <w:tabs>
          <w:tab w:val="num" w:pos="360"/>
        </w:tabs>
        <w:ind w:left="360" w:hanging="360"/>
      </w:pPr>
      <w:rPr>
        <w:rFonts w:ascii="Symbol" w:hAnsi="Symbol" w:hint="default"/>
        <w:sz w:val="16"/>
      </w:rPr>
    </w:lvl>
  </w:abstractNum>
  <w:abstractNum w:abstractNumId="60" w15:restartNumberingAfterBreak="0">
    <w:nsid w:val="760F63B2"/>
    <w:multiLevelType w:val="hybridMultilevel"/>
    <w:tmpl w:val="36E0B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77C1D41"/>
    <w:multiLevelType w:val="hybridMultilevel"/>
    <w:tmpl w:val="0EFC4EE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8B45DCE"/>
    <w:multiLevelType w:val="hybridMultilevel"/>
    <w:tmpl w:val="E7ECF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C0E00BE"/>
    <w:multiLevelType w:val="hybridMultilevel"/>
    <w:tmpl w:val="4D7AB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D603080"/>
    <w:multiLevelType w:val="singleLevel"/>
    <w:tmpl w:val="467673D8"/>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E100137"/>
    <w:multiLevelType w:val="singleLevel"/>
    <w:tmpl w:val="D110EC50"/>
    <w:lvl w:ilvl="0">
      <w:start w:val="1"/>
      <w:numFmt w:val="bullet"/>
      <w:lvlText w:val=""/>
      <w:lvlJc w:val="left"/>
      <w:pPr>
        <w:tabs>
          <w:tab w:val="num" w:pos="360"/>
        </w:tabs>
        <w:ind w:left="360" w:hanging="360"/>
      </w:pPr>
      <w:rPr>
        <w:rFonts w:ascii="Symbol" w:hAnsi="Symbol" w:hint="default"/>
        <w:sz w:val="16"/>
      </w:rPr>
    </w:lvl>
  </w:abstractNum>
  <w:abstractNum w:abstractNumId="66" w15:restartNumberingAfterBreak="0">
    <w:nsid w:val="7FC33CE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82830561">
    <w:abstractNumId w:val="16"/>
  </w:num>
  <w:num w:numId="2" w16cid:durableId="1690447242">
    <w:abstractNumId w:val="2"/>
  </w:num>
  <w:num w:numId="3" w16cid:durableId="933395925">
    <w:abstractNumId w:val="46"/>
  </w:num>
  <w:num w:numId="4" w16cid:durableId="568852691">
    <w:abstractNumId w:val="0"/>
  </w:num>
  <w:num w:numId="5" w16cid:durableId="990328184">
    <w:abstractNumId w:val="54"/>
  </w:num>
  <w:num w:numId="6" w16cid:durableId="118572461">
    <w:abstractNumId w:val="59"/>
  </w:num>
  <w:num w:numId="7" w16cid:durableId="999887444">
    <w:abstractNumId w:val="10"/>
  </w:num>
  <w:num w:numId="8" w16cid:durableId="1575578394">
    <w:abstractNumId w:val="15"/>
  </w:num>
  <w:num w:numId="9" w16cid:durableId="506143196">
    <w:abstractNumId w:val="57"/>
  </w:num>
  <w:num w:numId="10" w16cid:durableId="667755916">
    <w:abstractNumId w:val="65"/>
  </w:num>
  <w:num w:numId="11" w16cid:durableId="380249212">
    <w:abstractNumId w:val="40"/>
  </w:num>
  <w:num w:numId="12" w16cid:durableId="1627348760">
    <w:abstractNumId w:val="28"/>
  </w:num>
  <w:num w:numId="13" w16cid:durableId="1743599481">
    <w:abstractNumId w:val="48"/>
  </w:num>
  <w:num w:numId="14" w16cid:durableId="1598295297">
    <w:abstractNumId w:val="64"/>
  </w:num>
  <w:num w:numId="15" w16cid:durableId="346634984">
    <w:abstractNumId w:val="17"/>
  </w:num>
  <w:num w:numId="16" w16cid:durableId="490491202">
    <w:abstractNumId w:val="45"/>
  </w:num>
  <w:num w:numId="17" w16cid:durableId="396131171">
    <w:abstractNumId w:val="24"/>
  </w:num>
  <w:num w:numId="18" w16cid:durableId="1609311204">
    <w:abstractNumId w:val="36"/>
  </w:num>
  <w:num w:numId="19" w16cid:durableId="366372989">
    <w:abstractNumId w:val="38"/>
  </w:num>
  <w:num w:numId="20" w16cid:durableId="1574582236">
    <w:abstractNumId w:val="66"/>
  </w:num>
  <w:num w:numId="21" w16cid:durableId="690306040">
    <w:abstractNumId w:val="5"/>
  </w:num>
  <w:num w:numId="22" w16cid:durableId="1394743402">
    <w:abstractNumId w:val="33"/>
  </w:num>
  <w:num w:numId="23" w16cid:durableId="1623804345">
    <w:abstractNumId w:val="44"/>
  </w:num>
  <w:num w:numId="24" w16cid:durableId="2127960410">
    <w:abstractNumId w:val="19"/>
  </w:num>
  <w:num w:numId="25" w16cid:durableId="1347977192">
    <w:abstractNumId w:val="43"/>
  </w:num>
  <w:num w:numId="26" w16cid:durableId="1138188906">
    <w:abstractNumId w:val="56"/>
  </w:num>
  <w:num w:numId="27" w16cid:durableId="1450972249">
    <w:abstractNumId w:val="42"/>
  </w:num>
  <w:num w:numId="28" w16cid:durableId="1190601927">
    <w:abstractNumId w:val="18"/>
  </w:num>
  <w:num w:numId="29" w16cid:durableId="796878342">
    <w:abstractNumId w:val="31"/>
  </w:num>
  <w:num w:numId="30" w16cid:durableId="867523585">
    <w:abstractNumId w:val="60"/>
  </w:num>
  <w:num w:numId="31" w16cid:durableId="1382821639">
    <w:abstractNumId w:val="27"/>
  </w:num>
  <w:num w:numId="32" w16cid:durableId="1597596734">
    <w:abstractNumId w:val="53"/>
  </w:num>
  <w:num w:numId="33" w16cid:durableId="2029914235">
    <w:abstractNumId w:val="51"/>
  </w:num>
  <w:num w:numId="34" w16cid:durableId="775176559">
    <w:abstractNumId w:val="21"/>
  </w:num>
  <w:num w:numId="35" w16cid:durableId="118033849">
    <w:abstractNumId w:val="58"/>
  </w:num>
  <w:num w:numId="36" w16cid:durableId="647436150">
    <w:abstractNumId w:val="22"/>
  </w:num>
  <w:num w:numId="37" w16cid:durableId="331303348">
    <w:abstractNumId w:val="29"/>
  </w:num>
  <w:num w:numId="38" w16cid:durableId="1713578840">
    <w:abstractNumId w:val="7"/>
  </w:num>
  <w:num w:numId="39" w16cid:durableId="80028073">
    <w:abstractNumId w:val="14"/>
  </w:num>
  <w:num w:numId="40" w16cid:durableId="1295334439">
    <w:abstractNumId w:val="13"/>
  </w:num>
  <w:num w:numId="41" w16cid:durableId="1627195432">
    <w:abstractNumId w:val="61"/>
  </w:num>
  <w:num w:numId="42" w16cid:durableId="667709908">
    <w:abstractNumId w:val="4"/>
  </w:num>
  <w:num w:numId="43" w16cid:durableId="485166971">
    <w:abstractNumId w:val="6"/>
  </w:num>
  <w:num w:numId="44" w16cid:durableId="472604446">
    <w:abstractNumId w:val="35"/>
  </w:num>
  <w:num w:numId="45" w16cid:durableId="15933588">
    <w:abstractNumId w:val="41"/>
  </w:num>
  <w:num w:numId="46" w16cid:durableId="2031176388">
    <w:abstractNumId w:val="20"/>
  </w:num>
  <w:num w:numId="47" w16cid:durableId="86117223">
    <w:abstractNumId w:val="23"/>
  </w:num>
  <w:num w:numId="48" w16cid:durableId="105929367">
    <w:abstractNumId w:val="26"/>
  </w:num>
  <w:num w:numId="49" w16cid:durableId="1485318017">
    <w:abstractNumId w:val="11"/>
  </w:num>
  <w:num w:numId="50" w16cid:durableId="721900825">
    <w:abstractNumId w:val="47"/>
  </w:num>
  <w:num w:numId="51" w16cid:durableId="536234429">
    <w:abstractNumId w:val="9"/>
  </w:num>
  <w:num w:numId="52" w16cid:durableId="455956008">
    <w:abstractNumId w:val="12"/>
  </w:num>
  <w:num w:numId="53" w16cid:durableId="1336958747">
    <w:abstractNumId w:val="39"/>
  </w:num>
  <w:num w:numId="54" w16cid:durableId="936332287">
    <w:abstractNumId w:val="37"/>
  </w:num>
  <w:num w:numId="55" w16cid:durableId="435098789">
    <w:abstractNumId w:val="3"/>
    <w:lvlOverride w:ilvl="0">
      <w:startOverride w:val="14"/>
    </w:lvlOverride>
    <w:lvlOverride w:ilvl="1">
      <w:startOverride w:val="3"/>
    </w:lvlOverride>
    <w:lvlOverride w:ilvl="2">
      <w:startOverride w:val="1"/>
    </w:lvlOverride>
    <w:lvlOverride w:ilvl="3"/>
    <w:lvlOverride w:ilvl="4"/>
    <w:lvlOverride w:ilvl="5"/>
    <w:lvlOverride w:ilvl="6"/>
    <w:lvlOverride w:ilvl="7"/>
    <w:lvlOverride w:ilvl="8"/>
  </w:num>
  <w:num w:numId="56" w16cid:durableId="831723500">
    <w:abstractNumId w:val="30"/>
  </w:num>
  <w:num w:numId="57" w16cid:durableId="451871165">
    <w:abstractNumId w:val="49"/>
  </w:num>
  <w:num w:numId="58" w16cid:durableId="368652129">
    <w:abstractNumId w:val="50"/>
  </w:num>
  <w:num w:numId="59" w16cid:durableId="768163526">
    <w:abstractNumId w:val="63"/>
  </w:num>
  <w:num w:numId="60" w16cid:durableId="1600480026">
    <w:abstractNumId w:val="25"/>
  </w:num>
  <w:num w:numId="61" w16cid:durableId="784495002">
    <w:abstractNumId w:val="1"/>
  </w:num>
  <w:num w:numId="62" w16cid:durableId="1921519069">
    <w:abstractNumId w:val="32"/>
  </w:num>
  <w:num w:numId="63" w16cid:durableId="383068718">
    <w:abstractNumId w:val="52"/>
  </w:num>
  <w:num w:numId="64" w16cid:durableId="657461081">
    <w:abstractNumId w:val="8"/>
  </w:num>
  <w:num w:numId="65" w16cid:durableId="783889059">
    <w:abstractNumId w:val="34"/>
  </w:num>
  <w:num w:numId="66" w16cid:durableId="1777749116">
    <w:abstractNumId w:val="55"/>
  </w:num>
  <w:num w:numId="67" w16cid:durableId="1823234770">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isplayBackgroundShape/>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A3"/>
    <w:rsid w:val="00000137"/>
    <w:rsid w:val="00000782"/>
    <w:rsid w:val="0000078F"/>
    <w:rsid w:val="00000C6A"/>
    <w:rsid w:val="00000D17"/>
    <w:rsid w:val="00001378"/>
    <w:rsid w:val="0000218D"/>
    <w:rsid w:val="00002347"/>
    <w:rsid w:val="00002589"/>
    <w:rsid w:val="0000314B"/>
    <w:rsid w:val="00003388"/>
    <w:rsid w:val="000038B4"/>
    <w:rsid w:val="000039A4"/>
    <w:rsid w:val="000039FF"/>
    <w:rsid w:val="00003B59"/>
    <w:rsid w:val="00004745"/>
    <w:rsid w:val="00004F7E"/>
    <w:rsid w:val="0000509E"/>
    <w:rsid w:val="00005494"/>
    <w:rsid w:val="000064D7"/>
    <w:rsid w:val="00006A5B"/>
    <w:rsid w:val="00007954"/>
    <w:rsid w:val="00007B1D"/>
    <w:rsid w:val="00007BE4"/>
    <w:rsid w:val="00010BD8"/>
    <w:rsid w:val="00011240"/>
    <w:rsid w:val="0001213A"/>
    <w:rsid w:val="000122EF"/>
    <w:rsid w:val="0001261C"/>
    <w:rsid w:val="00012B43"/>
    <w:rsid w:val="00012CD2"/>
    <w:rsid w:val="00012E84"/>
    <w:rsid w:val="000133B7"/>
    <w:rsid w:val="000133CB"/>
    <w:rsid w:val="00013F0E"/>
    <w:rsid w:val="0001473B"/>
    <w:rsid w:val="00014ED0"/>
    <w:rsid w:val="00015818"/>
    <w:rsid w:val="00015A87"/>
    <w:rsid w:val="00015D77"/>
    <w:rsid w:val="00015D7A"/>
    <w:rsid w:val="00015E4A"/>
    <w:rsid w:val="00016EE1"/>
    <w:rsid w:val="000212E0"/>
    <w:rsid w:val="0002154E"/>
    <w:rsid w:val="000233B7"/>
    <w:rsid w:val="00024290"/>
    <w:rsid w:val="00024EA2"/>
    <w:rsid w:val="00024ECA"/>
    <w:rsid w:val="000255DA"/>
    <w:rsid w:val="00025FB0"/>
    <w:rsid w:val="00026161"/>
    <w:rsid w:val="00027468"/>
    <w:rsid w:val="00027D1A"/>
    <w:rsid w:val="00027E3A"/>
    <w:rsid w:val="00030BF7"/>
    <w:rsid w:val="00030D84"/>
    <w:rsid w:val="00031825"/>
    <w:rsid w:val="000320BC"/>
    <w:rsid w:val="000336B9"/>
    <w:rsid w:val="00033A6F"/>
    <w:rsid w:val="00034D90"/>
    <w:rsid w:val="0003581D"/>
    <w:rsid w:val="000358BF"/>
    <w:rsid w:val="00035D29"/>
    <w:rsid w:val="000368AD"/>
    <w:rsid w:val="00037A93"/>
    <w:rsid w:val="00040874"/>
    <w:rsid w:val="00040DB9"/>
    <w:rsid w:val="00040E7A"/>
    <w:rsid w:val="0004220F"/>
    <w:rsid w:val="00042369"/>
    <w:rsid w:val="00043C2D"/>
    <w:rsid w:val="000462FC"/>
    <w:rsid w:val="00046728"/>
    <w:rsid w:val="0004672D"/>
    <w:rsid w:val="00046B54"/>
    <w:rsid w:val="0004754E"/>
    <w:rsid w:val="00051E91"/>
    <w:rsid w:val="00052069"/>
    <w:rsid w:val="00052245"/>
    <w:rsid w:val="00053591"/>
    <w:rsid w:val="000536AE"/>
    <w:rsid w:val="00053AC7"/>
    <w:rsid w:val="00053FA5"/>
    <w:rsid w:val="00054584"/>
    <w:rsid w:val="000560E8"/>
    <w:rsid w:val="0005661B"/>
    <w:rsid w:val="00056650"/>
    <w:rsid w:val="000568D7"/>
    <w:rsid w:val="000572CB"/>
    <w:rsid w:val="000578BA"/>
    <w:rsid w:val="00057903"/>
    <w:rsid w:val="0006024E"/>
    <w:rsid w:val="0006055D"/>
    <w:rsid w:val="000605F8"/>
    <w:rsid w:val="00060983"/>
    <w:rsid w:val="00060C32"/>
    <w:rsid w:val="00061045"/>
    <w:rsid w:val="00061A39"/>
    <w:rsid w:val="00062B9A"/>
    <w:rsid w:val="00064D86"/>
    <w:rsid w:val="00064E26"/>
    <w:rsid w:val="0006558D"/>
    <w:rsid w:val="00065AAC"/>
    <w:rsid w:val="0006656C"/>
    <w:rsid w:val="00066CB0"/>
    <w:rsid w:val="000710AF"/>
    <w:rsid w:val="000710CA"/>
    <w:rsid w:val="00071343"/>
    <w:rsid w:val="00071834"/>
    <w:rsid w:val="00072521"/>
    <w:rsid w:val="00074983"/>
    <w:rsid w:val="000749C5"/>
    <w:rsid w:val="00075C90"/>
    <w:rsid w:val="00076DA7"/>
    <w:rsid w:val="00077682"/>
    <w:rsid w:val="000778A1"/>
    <w:rsid w:val="000811AE"/>
    <w:rsid w:val="00082879"/>
    <w:rsid w:val="000832AC"/>
    <w:rsid w:val="00084243"/>
    <w:rsid w:val="00084D04"/>
    <w:rsid w:val="00084FF4"/>
    <w:rsid w:val="00086A91"/>
    <w:rsid w:val="00086DFF"/>
    <w:rsid w:val="0008788A"/>
    <w:rsid w:val="00087CC9"/>
    <w:rsid w:val="00087D44"/>
    <w:rsid w:val="00090046"/>
    <w:rsid w:val="000904C6"/>
    <w:rsid w:val="0009071E"/>
    <w:rsid w:val="00090DB1"/>
    <w:rsid w:val="0009132B"/>
    <w:rsid w:val="00091443"/>
    <w:rsid w:val="0009258B"/>
    <w:rsid w:val="00092F4B"/>
    <w:rsid w:val="00093821"/>
    <w:rsid w:val="000940C5"/>
    <w:rsid w:val="00094325"/>
    <w:rsid w:val="000943AC"/>
    <w:rsid w:val="0009454B"/>
    <w:rsid w:val="00095AD8"/>
    <w:rsid w:val="0009607A"/>
    <w:rsid w:val="000966D4"/>
    <w:rsid w:val="000975B9"/>
    <w:rsid w:val="000A0364"/>
    <w:rsid w:val="000A256C"/>
    <w:rsid w:val="000A2875"/>
    <w:rsid w:val="000A3FC6"/>
    <w:rsid w:val="000A4462"/>
    <w:rsid w:val="000A46F3"/>
    <w:rsid w:val="000A474F"/>
    <w:rsid w:val="000A5E5F"/>
    <w:rsid w:val="000A6D7E"/>
    <w:rsid w:val="000A7747"/>
    <w:rsid w:val="000A7917"/>
    <w:rsid w:val="000A7D40"/>
    <w:rsid w:val="000B042C"/>
    <w:rsid w:val="000B04D3"/>
    <w:rsid w:val="000B0523"/>
    <w:rsid w:val="000B08FA"/>
    <w:rsid w:val="000B18AC"/>
    <w:rsid w:val="000B1BDF"/>
    <w:rsid w:val="000B1C04"/>
    <w:rsid w:val="000B4A08"/>
    <w:rsid w:val="000B5D45"/>
    <w:rsid w:val="000B681B"/>
    <w:rsid w:val="000B69E6"/>
    <w:rsid w:val="000B6A99"/>
    <w:rsid w:val="000B6EEE"/>
    <w:rsid w:val="000B71A9"/>
    <w:rsid w:val="000B7D46"/>
    <w:rsid w:val="000B7D57"/>
    <w:rsid w:val="000C0AC8"/>
    <w:rsid w:val="000C1176"/>
    <w:rsid w:val="000C1257"/>
    <w:rsid w:val="000C22B0"/>
    <w:rsid w:val="000C2562"/>
    <w:rsid w:val="000C29A1"/>
    <w:rsid w:val="000C3142"/>
    <w:rsid w:val="000C46C2"/>
    <w:rsid w:val="000C5048"/>
    <w:rsid w:val="000C52C9"/>
    <w:rsid w:val="000C52FA"/>
    <w:rsid w:val="000C541B"/>
    <w:rsid w:val="000C5A73"/>
    <w:rsid w:val="000C5A98"/>
    <w:rsid w:val="000C5BF2"/>
    <w:rsid w:val="000C62C1"/>
    <w:rsid w:val="000C7679"/>
    <w:rsid w:val="000C7A7C"/>
    <w:rsid w:val="000D04BB"/>
    <w:rsid w:val="000D06D6"/>
    <w:rsid w:val="000D0A05"/>
    <w:rsid w:val="000D178F"/>
    <w:rsid w:val="000D18C1"/>
    <w:rsid w:val="000D2273"/>
    <w:rsid w:val="000D2515"/>
    <w:rsid w:val="000D2594"/>
    <w:rsid w:val="000D260A"/>
    <w:rsid w:val="000D3F34"/>
    <w:rsid w:val="000D4923"/>
    <w:rsid w:val="000D51D5"/>
    <w:rsid w:val="000D5380"/>
    <w:rsid w:val="000D6C40"/>
    <w:rsid w:val="000D78E9"/>
    <w:rsid w:val="000E0761"/>
    <w:rsid w:val="000E1090"/>
    <w:rsid w:val="000E2B70"/>
    <w:rsid w:val="000E2E80"/>
    <w:rsid w:val="000E3866"/>
    <w:rsid w:val="000E395B"/>
    <w:rsid w:val="000E3CFA"/>
    <w:rsid w:val="000E4A24"/>
    <w:rsid w:val="000E4B09"/>
    <w:rsid w:val="000E5808"/>
    <w:rsid w:val="000E6F01"/>
    <w:rsid w:val="000E776E"/>
    <w:rsid w:val="000E7E6E"/>
    <w:rsid w:val="000F11A9"/>
    <w:rsid w:val="000F14FA"/>
    <w:rsid w:val="000F2496"/>
    <w:rsid w:val="000F2D55"/>
    <w:rsid w:val="000F3061"/>
    <w:rsid w:val="000F3327"/>
    <w:rsid w:val="000F63D6"/>
    <w:rsid w:val="000F67DB"/>
    <w:rsid w:val="000F68C0"/>
    <w:rsid w:val="000F6A3D"/>
    <w:rsid w:val="000F732D"/>
    <w:rsid w:val="000F7A8E"/>
    <w:rsid w:val="000F7CEA"/>
    <w:rsid w:val="000F7ED1"/>
    <w:rsid w:val="001003E1"/>
    <w:rsid w:val="00101105"/>
    <w:rsid w:val="00101533"/>
    <w:rsid w:val="001015E4"/>
    <w:rsid w:val="00102548"/>
    <w:rsid w:val="00102682"/>
    <w:rsid w:val="0010297C"/>
    <w:rsid w:val="00102DD9"/>
    <w:rsid w:val="00102EF3"/>
    <w:rsid w:val="001034FF"/>
    <w:rsid w:val="0010355E"/>
    <w:rsid w:val="00103975"/>
    <w:rsid w:val="00103B72"/>
    <w:rsid w:val="00103D28"/>
    <w:rsid w:val="0010692D"/>
    <w:rsid w:val="0011070D"/>
    <w:rsid w:val="001107BB"/>
    <w:rsid w:val="0011088D"/>
    <w:rsid w:val="00110BE5"/>
    <w:rsid w:val="00111335"/>
    <w:rsid w:val="00111C55"/>
    <w:rsid w:val="00112ECC"/>
    <w:rsid w:val="00112F1C"/>
    <w:rsid w:val="0011333D"/>
    <w:rsid w:val="001136BC"/>
    <w:rsid w:val="00114BBD"/>
    <w:rsid w:val="00114F88"/>
    <w:rsid w:val="00115073"/>
    <w:rsid w:val="001150A1"/>
    <w:rsid w:val="001153AD"/>
    <w:rsid w:val="00116ABD"/>
    <w:rsid w:val="00116D46"/>
    <w:rsid w:val="00120D97"/>
    <w:rsid w:val="001218C0"/>
    <w:rsid w:val="00121C3C"/>
    <w:rsid w:val="00121E70"/>
    <w:rsid w:val="00122911"/>
    <w:rsid w:val="00122D67"/>
    <w:rsid w:val="00122D95"/>
    <w:rsid w:val="001231AA"/>
    <w:rsid w:val="001247E1"/>
    <w:rsid w:val="00126792"/>
    <w:rsid w:val="00126FB2"/>
    <w:rsid w:val="0012735F"/>
    <w:rsid w:val="00130A38"/>
    <w:rsid w:val="001319A4"/>
    <w:rsid w:val="00131A41"/>
    <w:rsid w:val="00131A83"/>
    <w:rsid w:val="0013248C"/>
    <w:rsid w:val="00132947"/>
    <w:rsid w:val="00132F24"/>
    <w:rsid w:val="00134713"/>
    <w:rsid w:val="00135056"/>
    <w:rsid w:val="001358B4"/>
    <w:rsid w:val="001367AF"/>
    <w:rsid w:val="00137379"/>
    <w:rsid w:val="001373B6"/>
    <w:rsid w:val="001375CB"/>
    <w:rsid w:val="00137AAD"/>
    <w:rsid w:val="00140093"/>
    <w:rsid w:val="00141B41"/>
    <w:rsid w:val="00142307"/>
    <w:rsid w:val="00142543"/>
    <w:rsid w:val="00142B4B"/>
    <w:rsid w:val="00142C9A"/>
    <w:rsid w:val="00143FCC"/>
    <w:rsid w:val="00144477"/>
    <w:rsid w:val="00144B53"/>
    <w:rsid w:val="00144D03"/>
    <w:rsid w:val="001453C7"/>
    <w:rsid w:val="00145506"/>
    <w:rsid w:val="00145821"/>
    <w:rsid w:val="0014680F"/>
    <w:rsid w:val="00146B5C"/>
    <w:rsid w:val="001479C0"/>
    <w:rsid w:val="001502BB"/>
    <w:rsid w:val="00150AF1"/>
    <w:rsid w:val="00151074"/>
    <w:rsid w:val="00151663"/>
    <w:rsid w:val="0015297F"/>
    <w:rsid w:val="00152B06"/>
    <w:rsid w:val="00153AB8"/>
    <w:rsid w:val="00155AE1"/>
    <w:rsid w:val="00156B9F"/>
    <w:rsid w:val="00156DD1"/>
    <w:rsid w:val="00157141"/>
    <w:rsid w:val="001603E2"/>
    <w:rsid w:val="00160660"/>
    <w:rsid w:val="00160DF8"/>
    <w:rsid w:val="00161089"/>
    <w:rsid w:val="001614E9"/>
    <w:rsid w:val="001615DA"/>
    <w:rsid w:val="00161DD0"/>
    <w:rsid w:val="00162132"/>
    <w:rsid w:val="00162286"/>
    <w:rsid w:val="0016242D"/>
    <w:rsid w:val="0016278A"/>
    <w:rsid w:val="00162833"/>
    <w:rsid w:val="00162B5E"/>
    <w:rsid w:val="00162E4D"/>
    <w:rsid w:val="00164DA4"/>
    <w:rsid w:val="00165179"/>
    <w:rsid w:val="00165DD9"/>
    <w:rsid w:val="0016683B"/>
    <w:rsid w:val="00167F26"/>
    <w:rsid w:val="00170D02"/>
    <w:rsid w:val="00170EB6"/>
    <w:rsid w:val="001718C7"/>
    <w:rsid w:val="0017261F"/>
    <w:rsid w:val="001726A8"/>
    <w:rsid w:val="001730FE"/>
    <w:rsid w:val="00173239"/>
    <w:rsid w:val="00173F53"/>
    <w:rsid w:val="0017420B"/>
    <w:rsid w:val="00174B03"/>
    <w:rsid w:val="00174E5A"/>
    <w:rsid w:val="00176C4E"/>
    <w:rsid w:val="00176D8D"/>
    <w:rsid w:val="00176F40"/>
    <w:rsid w:val="00177A4F"/>
    <w:rsid w:val="0018043B"/>
    <w:rsid w:val="00180FA3"/>
    <w:rsid w:val="00181287"/>
    <w:rsid w:val="001815C4"/>
    <w:rsid w:val="00181824"/>
    <w:rsid w:val="00181B85"/>
    <w:rsid w:val="001821BD"/>
    <w:rsid w:val="0018229D"/>
    <w:rsid w:val="001827A0"/>
    <w:rsid w:val="00183434"/>
    <w:rsid w:val="00183531"/>
    <w:rsid w:val="00183A9D"/>
    <w:rsid w:val="00184994"/>
    <w:rsid w:val="00185BBF"/>
    <w:rsid w:val="00186AE6"/>
    <w:rsid w:val="00187060"/>
    <w:rsid w:val="001871AF"/>
    <w:rsid w:val="00187C32"/>
    <w:rsid w:val="0019005E"/>
    <w:rsid w:val="00190945"/>
    <w:rsid w:val="00190A30"/>
    <w:rsid w:val="00191059"/>
    <w:rsid w:val="00191342"/>
    <w:rsid w:val="00191EA3"/>
    <w:rsid w:val="00192D0A"/>
    <w:rsid w:val="00194619"/>
    <w:rsid w:val="00195F10"/>
    <w:rsid w:val="0019610E"/>
    <w:rsid w:val="0019632C"/>
    <w:rsid w:val="00196A2A"/>
    <w:rsid w:val="00197E97"/>
    <w:rsid w:val="001A0744"/>
    <w:rsid w:val="001A097B"/>
    <w:rsid w:val="001A10DC"/>
    <w:rsid w:val="001A17AC"/>
    <w:rsid w:val="001A1BF3"/>
    <w:rsid w:val="001A1EF0"/>
    <w:rsid w:val="001A2386"/>
    <w:rsid w:val="001A2965"/>
    <w:rsid w:val="001A2AC8"/>
    <w:rsid w:val="001A2BAE"/>
    <w:rsid w:val="001A39C4"/>
    <w:rsid w:val="001A5330"/>
    <w:rsid w:val="001A57BF"/>
    <w:rsid w:val="001A5FD5"/>
    <w:rsid w:val="001A7DCA"/>
    <w:rsid w:val="001B0506"/>
    <w:rsid w:val="001B07BC"/>
    <w:rsid w:val="001B0A83"/>
    <w:rsid w:val="001B0AD7"/>
    <w:rsid w:val="001B0AF4"/>
    <w:rsid w:val="001B2214"/>
    <w:rsid w:val="001B2752"/>
    <w:rsid w:val="001B2820"/>
    <w:rsid w:val="001B3293"/>
    <w:rsid w:val="001B3B7C"/>
    <w:rsid w:val="001B3F4C"/>
    <w:rsid w:val="001B3FB7"/>
    <w:rsid w:val="001B423E"/>
    <w:rsid w:val="001B4ABC"/>
    <w:rsid w:val="001B4C6C"/>
    <w:rsid w:val="001B5615"/>
    <w:rsid w:val="001B6EC7"/>
    <w:rsid w:val="001B7DD8"/>
    <w:rsid w:val="001C1453"/>
    <w:rsid w:val="001C1745"/>
    <w:rsid w:val="001C205E"/>
    <w:rsid w:val="001C2125"/>
    <w:rsid w:val="001C23AE"/>
    <w:rsid w:val="001C2444"/>
    <w:rsid w:val="001C2501"/>
    <w:rsid w:val="001C3640"/>
    <w:rsid w:val="001C3731"/>
    <w:rsid w:val="001C38FA"/>
    <w:rsid w:val="001C4242"/>
    <w:rsid w:val="001C59C5"/>
    <w:rsid w:val="001C5C2F"/>
    <w:rsid w:val="001D0F56"/>
    <w:rsid w:val="001D2536"/>
    <w:rsid w:val="001D397C"/>
    <w:rsid w:val="001D4F20"/>
    <w:rsid w:val="001D5275"/>
    <w:rsid w:val="001D52F6"/>
    <w:rsid w:val="001D6263"/>
    <w:rsid w:val="001D67EB"/>
    <w:rsid w:val="001D68EF"/>
    <w:rsid w:val="001D732B"/>
    <w:rsid w:val="001D77F3"/>
    <w:rsid w:val="001E09A3"/>
    <w:rsid w:val="001E0C39"/>
    <w:rsid w:val="001E0FD7"/>
    <w:rsid w:val="001E19AD"/>
    <w:rsid w:val="001E2004"/>
    <w:rsid w:val="001E21BD"/>
    <w:rsid w:val="001E51EB"/>
    <w:rsid w:val="001E5434"/>
    <w:rsid w:val="001E5873"/>
    <w:rsid w:val="001E68D3"/>
    <w:rsid w:val="001E68E4"/>
    <w:rsid w:val="001E6ADB"/>
    <w:rsid w:val="001E6F0A"/>
    <w:rsid w:val="001E762E"/>
    <w:rsid w:val="001E7F3E"/>
    <w:rsid w:val="001F1878"/>
    <w:rsid w:val="001F1C63"/>
    <w:rsid w:val="001F2580"/>
    <w:rsid w:val="001F2F94"/>
    <w:rsid w:val="001F3710"/>
    <w:rsid w:val="001F37ED"/>
    <w:rsid w:val="001F3CA7"/>
    <w:rsid w:val="001F560F"/>
    <w:rsid w:val="001F5894"/>
    <w:rsid w:val="001F68EC"/>
    <w:rsid w:val="001F6F7B"/>
    <w:rsid w:val="001F78D1"/>
    <w:rsid w:val="001F7E59"/>
    <w:rsid w:val="00200618"/>
    <w:rsid w:val="0020116E"/>
    <w:rsid w:val="0020183E"/>
    <w:rsid w:val="00201F26"/>
    <w:rsid w:val="00202514"/>
    <w:rsid w:val="0020319A"/>
    <w:rsid w:val="00203F73"/>
    <w:rsid w:val="00204272"/>
    <w:rsid w:val="0020444D"/>
    <w:rsid w:val="002048B6"/>
    <w:rsid w:val="002048F9"/>
    <w:rsid w:val="00204F24"/>
    <w:rsid w:val="00205E46"/>
    <w:rsid w:val="002063D2"/>
    <w:rsid w:val="00206ACE"/>
    <w:rsid w:val="002072DE"/>
    <w:rsid w:val="00207FB2"/>
    <w:rsid w:val="00210348"/>
    <w:rsid w:val="002109F5"/>
    <w:rsid w:val="00211044"/>
    <w:rsid w:val="002110D8"/>
    <w:rsid w:val="002120EE"/>
    <w:rsid w:val="0021213C"/>
    <w:rsid w:val="00212232"/>
    <w:rsid w:val="00214D5E"/>
    <w:rsid w:val="00214EC0"/>
    <w:rsid w:val="002156D0"/>
    <w:rsid w:val="00215C97"/>
    <w:rsid w:val="002168A0"/>
    <w:rsid w:val="002169F9"/>
    <w:rsid w:val="002175E2"/>
    <w:rsid w:val="002177FB"/>
    <w:rsid w:val="00220846"/>
    <w:rsid w:val="002209AD"/>
    <w:rsid w:val="00220BC4"/>
    <w:rsid w:val="00221F22"/>
    <w:rsid w:val="002233AC"/>
    <w:rsid w:val="002234C5"/>
    <w:rsid w:val="0022384A"/>
    <w:rsid w:val="00225CC9"/>
    <w:rsid w:val="002261D8"/>
    <w:rsid w:val="002263BD"/>
    <w:rsid w:val="0022789B"/>
    <w:rsid w:val="00230C9D"/>
    <w:rsid w:val="002310EC"/>
    <w:rsid w:val="0023186A"/>
    <w:rsid w:val="00231DCD"/>
    <w:rsid w:val="00231FB9"/>
    <w:rsid w:val="002339CA"/>
    <w:rsid w:val="00233A12"/>
    <w:rsid w:val="00235031"/>
    <w:rsid w:val="00235274"/>
    <w:rsid w:val="00235694"/>
    <w:rsid w:val="002360A5"/>
    <w:rsid w:val="0023632A"/>
    <w:rsid w:val="00236782"/>
    <w:rsid w:val="00237156"/>
    <w:rsid w:val="002377A0"/>
    <w:rsid w:val="002378DD"/>
    <w:rsid w:val="00237D16"/>
    <w:rsid w:val="00237DFC"/>
    <w:rsid w:val="002403A0"/>
    <w:rsid w:val="0024057E"/>
    <w:rsid w:val="00241C12"/>
    <w:rsid w:val="00241FD5"/>
    <w:rsid w:val="00242232"/>
    <w:rsid w:val="00242787"/>
    <w:rsid w:val="00242FF6"/>
    <w:rsid w:val="0024319B"/>
    <w:rsid w:val="002447F4"/>
    <w:rsid w:val="002449A9"/>
    <w:rsid w:val="00244FC9"/>
    <w:rsid w:val="00245039"/>
    <w:rsid w:val="0024505F"/>
    <w:rsid w:val="00245515"/>
    <w:rsid w:val="00245AA2"/>
    <w:rsid w:val="00245AE5"/>
    <w:rsid w:val="00245F2E"/>
    <w:rsid w:val="00246432"/>
    <w:rsid w:val="00246A20"/>
    <w:rsid w:val="00246DD5"/>
    <w:rsid w:val="00247222"/>
    <w:rsid w:val="00247713"/>
    <w:rsid w:val="00250250"/>
    <w:rsid w:val="002510B0"/>
    <w:rsid w:val="00251478"/>
    <w:rsid w:val="00251F56"/>
    <w:rsid w:val="00252389"/>
    <w:rsid w:val="002530EB"/>
    <w:rsid w:val="00254490"/>
    <w:rsid w:val="00254C1B"/>
    <w:rsid w:val="00254F26"/>
    <w:rsid w:val="00255BF6"/>
    <w:rsid w:val="00255EBB"/>
    <w:rsid w:val="00256CC8"/>
    <w:rsid w:val="00257586"/>
    <w:rsid w:val="002577B9"/>
    <w:rsid w:val="00257914"/>
    <w:rsid w:val="00257E9C"/>
    <w:rsid w:val="00260861"/>
    <w:rsid w:val="00261280"/>
    <w:rsid w:val="00262439"/>
    <w:rsid w:val="002625E7"/>
    <w:rsid w:val="00262C7F"/>
    <w:rsid w:val="00263B29"/>
    <w:rsid w:val="00264CCC"/>
    <w:rsid w:val="00265281"/>
    <w:rsid w:val="00266CE3"/>
    <w:rsid w:val="002672A6"/>
    <w:rsid w:val="00267347"/>
    <w:rsid w:val="002677D5"/>
    <w:rsid w:val="00270D78"/>
    <w:rsid w:val="002719A2"/>
    <w:rsid w:val="00273A22"/>
    <w:rsid w:val="00273E60"/>
    <w:rsid w:val="0027515B"/>
    <w:rsid w:val="00275517"/>
    <w:rsid w:val="002758E2"/>
    <w:rsid w:val="00275D7E"/>
    <w:rsid w:val="002775C4"/>
    <w:rsid w:val="00277790"/>
    <w:rsid w:val="00282841"/>
    <w:rsid w:val="0028350E"/>
    <w:rsid w:val="00284E58"/>
    <w:rsid w:val="00285CE4"/>
    <w:rsid w:val="002863B6"/>
    <w:rsid w:val="0028706E"/>
    <w:rsid w:val="00287D8A"/>
    <w:rsid w:val="00291A47"/>
    <w:rsid w:val="00291DE5"/>
    <w:rsid w:val="002921FD"/>
    <w:rsid w:val="00292550"/>
    <w:rsid w:val="00292657"/>
    <w:rsid w:val="00292949"/>
    <w:rsid w:val="00292BA4"/>
    <w:rsid w:val="00292C88"/>
    <w:rsid w:val="002934F7"/>
    <w:rsid w:val="0029358F"/>
    <w:rsid w:val="002938CE"/>
    <w:rsid w:val="00293A38"/>
    <w:rsid w:val="0029498C"/>
    <w:rsid w:val="00294BFF"/>
    <w:rsid w:val="002952BA"/>
    <w:rsid w:val="002953B0"/>
    <w:rsid w:val="00295E1C"/>
    <w:rsid w:val="00296819"/>
    <w:rsid w:val="00296FB1"/>
    <w:rsid w:val="002979CD"/>
    <w:rsid w:val="00297AC6"/>
    <w:rsid w:val="002A108D"/>
    <w:rsid w:val="002A156D"/>
    <w:rsid w:val="002A250E"/>
    <w:rsid w:val="002A2FF7"/>
    <w:rsid w:val="002A4058"/>
    <w:rsid w:val="002A50B6"/>
    <w:rsid w:val="002A5629"/>
    <w:rsid w:val="002A5C48"/>
    <w:rsid w:val="002A6167"/>
    <w:rsid w:val="002A65BD"/>
    <w:rsid w:val="002A6A1E"/>
    <w:rsid w:val="002A7561"/>
    <w:rsid w:val="002B151B"/>
    <w:rsid w:val="002B1BC8"/>
    <w:rsid w:val="002B261C"/>
    <w:rsid w:val="002B33B1"/>
    <w:rsid w:val="002B3E53"/>
    <w:rsid w:val="002B5CA2"/>
    <w:rsid w:val="002B767F"/>
    <w:rsid w:val="002B7E25"/>
    <w:rsid w:val="002B7E69"/>
    <w:rsid w:val="002C0E85"/>
    <w:rsid w:val="002C0FEC"/>
    <w:rsid w:val="002C1FFE"/>
    <w:rsid w:val="002C3AF4"/>
    <w:rsid w:val="002C3BCB"/>
    <w:rsid w:val="002C42A8"/>
    <w:rsid w:val="002C4A29"/>
    <w:rsid w:val="002C4B00"/>
    <w:rsid w:val="002C54B3"/>
    <w:rsid w:val="002C5FBA"/>
    <w:rsid w:val="002C605F"/>
    <w:rsid w:val="002C60C6"/>
    <w:rsid w:val="002C658B"/>
    <w:rsid w:val="002C6C67"/>
    <w:rsid w:val="002C7CBD"/>
    <w:rsid w:val="002D0743"/>
    <w:rsid w:val="002D0C64"/>
    <w:rsid w:val="002D0E8E"/>
    <w:rsid w:val="002D1500"/>
    <w:rsid w:val="002D1705"/>
    <w:rsid w:val="002D27AA"/>
    <w:rsid w:val="002D29C3"/>
    <w:rsid w:val="002D2BD1"/>
    <w:rsid w:val="002D3369"/>
    <w:rsid w:val="002D3732"/>
    <w:rsid w:val="002D3B72"/>
    <w:rsid w:val="002D3CE6"/>
    <w:rsid w:val="002D4388"/>
    <w:rsid w:val="002D4617"/>
    <w:rsid w:val="002D4B80"/>
    <w:rsid w:val="002D5639"/>
    <w:rsid w:val="002D5943"/>
    <w:rsid w:val="002D66FF"/>
    <w:rsid w:val="002D6BE1"/>
    <w:rsid w:val="002D6CA6"/>
    <w:rsid w:val="002D71B9"/>
    <w:rsid w:val="002D71D2"/>
    <w:rsid w:val="002D7751"/>
    <w:rsid w:val="002E024A"/>
    <w:rsid w:val="002E0493"/>
    <w:rsid w:val="002E06E1"/>
    <w:rsid w:val="002E086D"/>
    <w:rsid w:val="002E1254"/>
    <w:rsid w:val="002E1434"/>
    <w:rsid w:val="002E3069"/>
    <w:rsid w:val="002E3F88"/>
    <w:rsid w:val="002E43C1"/>
    <w:rsid w:val="002E45A8"/>
    <w:rsid w:val="002E4D65"/>
    <w:rsid w:val="002E5C98"/>
    <w:rsid w:val="002E62B0"/>
    <w:rsid w:val="002E6599"/>
    <w:rsid w:val="002E6608"/>
    <w:rsid w:val="002E6764"/>
    <w:rsid w:val="002F03B3"/>
    <w:rsid w:val="002F0673"/>
    <w:rsid w:val="002F0F6C"/>
    <w:rsid w:val="002F1066"/>
    <w:rsid w:val="002F1248"/>
    <w:rsid w:val="002F14EA"/>
    <w:rsid w:val="002F1C3C"/>
    <w:rsid w:val="002F1D68"/>
    <w:rsid w:val="002F21F6"/>
    <w:rsid w:val="002F2939"/>
    <w:rsid w:val="002F3392"/>
    <w:rsid w:val="002F3DD3"/>
    <w:rsid w:val="002F3EA5"/>
    <w:rsid w:val="002F4BE2"/>
    <w:rsid w:val="002F4C28"/>
    <w:rsid w:val="002F6051"/>
    <w:rsid w:val="002F60DD"/>
    <w:rsid w:val="002F68DC"/>
    <w:rsid w:val="002F6E0C"/>
    <w:rsid w:val="002F7491"/>
    <w:rsid w:val="00300E33"/>
    <w:rsid w:val="00301D45"/>
    <w:rsid w:val="003026D3"/>
    <w:rsid w:val="00302A11"/>
    <w:rsid w:val="00302FE8"/>
    <w:rsid w:val="0030318B"/>
    <w:rsid w:val="003031D1"/>
    <w:rsid w:val="003046CE"/>
    <w:rsid w:val="00304A4C"/>
    <w:rsid w:val="00304F69"/>
    <w:rsid w:val="003050F9"/>
    <w:rsid w:val="00305B83"/>
    <w:rsid w:val="00305C1F"/>
    <w:rsid w:val="0030641C"/>
    <w:rsid w:val="00307802"/>
    <w:rsid w:val="0031022A"/>
    <w:rsid w:val="003103CB"/>
    <w:rsid w:val="003112AD"/>
    <w:rsid w:val="00311D15"/>
    <w:rsid w:val="00312060"/>
    <w:rsid w:val="00312217"/>
    <w:rsid w:val="00313B08"/>
    <w:rsid w:val="00315081"/>
    <w:rsid w:val="00315406"/>
    <w:rsid w:val="003154F9"/>
    <w:rsid w:val="003166D9"/>
    <w:rsid w:val="00316AC0"/>
    <w:rsid w:val="003173D7"/>
    <w:rsid w:val="00317421"/>
    <w:rsid w:val="00317683"/>
    <w:rsid w:val="00320C57"/>
    <w:rsid w:val="00320C7A"/>
    <w:rsid w:val="00320F9B"/>
    <w:rsid w:val="00321163"/>
    <w:rsid w:val="003213DC"/>
    <w:rsid w:val="00321DB2"/>
    <w:rsid w:val="003223FF"/>
    <w:rsid w:val="00322928"/>
    <w:rsid w:val="00322FEA"/>
    <w:rsid w:val="00323373"/>
    <w:rsid w:val="0032386C"/>
    <w:rsid w:val="00323A78"/>
    <w:rsid w:val="00323CED"/>
    <w:rsid w:val="00323DC4"/>
    <w:rsid w:val="0032435E"/>
    <w:rsid w:val="003244BA"/>
    <w:rsid w:val="00324541"/>
    <w:rsid w:val="00324B08"/>
    <w:rsid w:val="00324D16"/>
    <w:rsid w:val="0032647F"/>
    <w:rsid w:val="00326566"/>
    <w:rsid w:val="00327640"/>
    <w:rsid w:val="003279A9"/>
    <w:rsid w:val="00327E4D"/>
    <w:rsid w:val="00327EF2"/>
    <w:rsid w:val="0033010B"/>
    <w:rsid w:val="00330D6F"/>
    <w:rsid w:val="00330E4B"/>
    <w:rsid w:val="003311A3"/>
    <w:rsid w:val="003315AA"/>
    <w:rsid w:val="00331D98"/>
    <w:rsid w:val="00332AD0"/>
    <w:rsid w:val="00332FB9"/>
    <w:rsid w:val="00333851"/>
    <w:rsid w:val="003343DF"/>
    <w:rsid w:val="00334C7C"/>
    <w:rsid w:val="00334FFF"/>
    <w:rsid w:val="003355F7"/>
    <w:rsid w:val="00336A02"/>
    <w:rsid w:val="00336C7A"/>
    <w:rsid w:val="003370A5"/>
    <w:rsid w:val="003374AE"/>
    <w:rsid w:val="00337617"/>
    <w:rsid w:val="003400FF"/>
    <w:rsid w:val="00341396"/>
    <w:rsid w:val="003414C2"/>
    <w:rsid w:val="00341E80"/>
    <w:rsid w:val="00342BF6"/>
    <w:rsid w:val="00342C4A"/>
    <w:rsid w:val="00342DFE"/>
    <w:rsid w:val="003431CB"/>
    <w:rsid w:val="00343705"/>
    <w:rsid w:val="00343F79"/>
    <w:rsid w:val="0034418A"/>
    <w:rsid w:val="00344AC3"/>
    <w:rsid w:val="00344C8D"/>
    <w:rsid w:val="00345B9D"/>
    <w:rsid w:val="0034736F"/>
    <w:rsid w:val="00347A3C"/>
    <w:rsid w:val="00350400"/>
    <w:rsid w:val="00351F1E"/>
    <w:rsid w:val="0035285D"/>
    <w:rsid w:val="00352C05"/>
    <w:rsid w:val="00353CD3"/>
    <w:rsid w:val="003546A2"/>
    <w:rsid w:val="00355B1D"/>
    <w:rsid w:val="00356BEE"/>
    <w:rsid w:val="003576D8"/>
    <w:rsid w:val="00357886"/>
    <w:rsid w:val="00357A40"/>
    <w:rsid w:val="00357FBA"/>
    <w:rsid w:val="00361CCE"/>
    <w:rsid w:val="0036234C"/>
    <w:rsid w:val="00362903"/>
    <w:rsid w:val="003633D5"/>
    <w:rsid w:val="003645A4"/>
    <w:rsid w:val="0036465B"/>
    <w:rsid w:val="003649F8"/>
    <w:rsid w:val="003677DF"/>
    <w:rsid w:val="00367A81"/>
    <w:rsid w:val="00367F4F"/>
    <w:rsid w:val="003703D6"/>
    <w:rsid w:val="00370981"/>
    <w:rsid w:val="00370F37"/>
    <w:rsid w:val="00372050"/>
    <w:rsid w:val="003723F8"/>
    <w:rsid w:val="00373994"/>
    <w:rsid w:val="003739B8"/>
    <w:rsid w:val="00373AA2"/>
    <w:rsid w:val="00373D20"/>
    <w:rsid w:val="00374000"/>
    <w:rsid w:val="0037419E"/>
    <w:rsid w:val="00374AF5"/>
    <w:rsid w:val="003753B5"/>
    <w:rsid w:val="003757A1"/>
    <w:rsid w:val="00375EEA"/>
    <w:rsid w:val="00377158"/>
    <w:rsid w:val="003777F8"/>
    <w:rsid w:val="00377B35"/>
    <w:rsid w:val="00377BFF"/>
    <w:rsid w:val="00381F11"/>
    <w:rsid w:val="00382593"/>
    <w:rsid w:val="00382C68"/>
    <w:rsid w:val="003837F1"/>
    <w:rsid w:val="003837FB"/>
    <w:rsid w:val="00383A23"/>
    <w:rsid w:val="00386742"/>
    <w:rsid w:val="00386757"/>
    <w:rsid w:val="00386F35"/>
    <w:rsid w:val="00390AB6"/>
    <w:rsid w:val="00390AD4"/>
    <w:rsid w:val="00392D3B"/>
    <w:rsid w:val="00394E03"/>
    <w:rsid w:val="00394E1C"/>
    <w:rsid w:val="0039500F"/>
    <w:rsid w:val="00395939"/>
    <w:rsid w:val="00395B0B"/>
    <w:rsid w:val="003963AF"/>
    <w:rsid w:val="00396655"/>
    <w:rsid w:val="00396733"/>
    <w:rsid w:val="00396973"/>
    <w:rsid w:val="00397220"/>
    <w:rsid w:val="00397F52"/>
    <w:rsid w:val="003A0AE9"/>
    <w:rsid w:val="003A0B8A"/>
    <w:rsid w:val="003A1DD2"/>
    <w:rsid w:val="003A1F73"/>
    <w:rsid w:val="003A2C8B"/>
    <w:rsid w:val="003A2CC2"/>
    <w:rsid w:val="003A2D93"/>
    <w:rsid w:val="003A32EE"/>
    <w:rsid w:val="003A3BF8"/>
    <w:rsid w:val="003A4A99"/>
    <w:rsid w:val="003A593C"/>
    <w:rsid w:val="003A5EA2"/>
    <w:rsid w:val="003A5EBE"/>
    <w:rsid w:val="003A63B3"/>
    <w:rsid w:val="003A63CA"/>
    <w:rsid w:val="003A73D9"/>
    <w:rsid w:val="003A7DA1"/>
    <w:rsid w:val="003B05CB"/>
    <w:rsid w:val="003B2005"/>
    <w:rsid w:val="003B230E"/>
    <w:rsid w:val="003B3019"/>
    <w:rsid w:val="003B3686"/>
    <w:rsid w:val="003B47A8"/>
    <w:rsid w:val="003B51DD"/>
    <w:rsid w:val="003B526B"/>
    <w:rsid w:val="003B5B8A"/>
    <w:rsid w:val="003B7089"/>
    <w:rsid w:val="003C1315"/>
    <w:rsid w:val="003C23A7"/>
    <w:rsid w:val="003C28D3"/>
    <w:rsid w:val="003C52D9"/>
    <w:rsid w:val="003C53D1"/>
    <w:rsid w:val="003C563D"/>
    <w:rsid w:val="003C5814"/>
    <w:rsid w:val="003C5C62"/>
    <w:rsid w:val="003C65AA"/>
    <w:rsid w:val="003C6DF6"/>
    <w:rsid w:val="003C78F4"/>
    <w:rsid w:val="003D0E84"/>
    <w:rsid w:val="003D3907"/>
    <w:rsid w:val="003D3E47"/>
    <w:rsid w:val="003D60FC"/>
    <w:rsid w:val="003D6D08"/>
    <w:rsid w:val="003D7F2D"/>
    <w:rsid w:val="003D7F63"/>
    <w:rsid w:val="003E0582"/>
    <w:rsid w:val="003E088C"/>
    <w:rsid w:val="003E0B03"/>
    <w:rsid w:val="003E0DC6"/>
    <w:rsid w:val="003E163A"/>
    <w:rsid w:val="003E1A1E"/>
    <w:rsid w:val="003E1C21"/>
    <w:rsid w:val="003E285B"/>
    <w:rsid w:val="003E296E"/>
    <w:rsid w:val="003E3464"/>
    <w:rsid w:val="003E49E7"/>
    <w:rsid w:val="003E4BCB"/>
    <w:rsid w:val="003E4DB6"/>
    <w:rsid w:val="003E59B8"/>
    <w:rsid w:val="003E5F49"/>
    <w:rsid w:val="003E69EE"/>
    <w:rsid w:val="003E7425"/>
    <w:rsid w:val="003E77B0"/>
    <w:rsid w:val="003E7DD8"/>
    <w:rsid w:val="003F07D7"/>
    <w:rsid w:val="003F0830"/>
    <w:rsid w:val="003F090C"/>
    <w:rsid w:val="003F0A1E"/>
    <w:rsid w:val="003F124F"/>
    <w:rsid w:val="003F13F4"/>
    <w:rsid w:val="003F21BE"/>
    <w:rsid w:val="003F268A"/>
    <w:rsid w:val="003F2F0C"/>
    <w:rsid w:val="003F33F0"/>
    <w:rsid w:val="003F3704"/>
    <w:rsid w:val="003F45D2"/>
    <w:rsid w:val="003F5E96"/>
    <w:rsid w:val="003F5EA0"/>
    <w:rsid w:val="003F6360"/>
    <w:rsid w:val="003F69E1"/>
    <w:rsid w:val="003F6B15"/>
    <w:rsid w:val="003F7521"/>
    <w:rsid w:val="003F76AA"/>
    <w:rsid w:val="003F7CCA"/>
    <w:rsid w:val="00400589"/>
    <w:rsid w:val="00401441"/>
    <w:rsid w:val="004014DD"/>
    <w:rsid w:val="00401831"/>
    <w:rsid w:val="00402BD1"/>
    <w:rsid w:val="00402C2B"/>
    <w:rsid w:val="00402EF6"/>
    <w:rsid w:val="004050A1"/>
    <w:rsid w:val="004056B0"/>
    <w:rsid w:val="00405D32"/>
    <w:rsid w:val="00405E7E"/>
    <w:rsid w:val="00405F60"/>
    <w:rsid w:val="004060FE"/>
    <w:rsid w:val="00406666"/>
    <w:rsid w:val="004067E2"/>
    <w:rsid w:val="00406F67"/>
    <w:rsid w:val="00406FF8"/>
    <w:rsid w:val="00407837"/>
    <w:rsid w:val="00407C6C"/>
    <w:rsid w:val="00410681"/>
    <w:rsid w:val="00411001"/>
    <w:rsid w:val="004136C2"/>
    <w:rsid w:val="00413D7A"/>
    <w:rsid w:val="00413D95"/>
    <w:rsid w:val="00413DCC"/>
    <w:rsid w:val="00414458"/>
    <w:rsid w:val="004145DC"/>
    <w:rsid w:val="00414659"/>
    <w:rsid w:val="00415264"/>
    <w:rsid w:val="00415ADF"/>
    <w:rsid w:val="004162B7"/>
    <w:rsid w:val="004163F3"/>
    <w:rsid w:val="00416B85"/>
    <w:rsid w:val="00417447"/>
    <w:rsid w:val="00417905"/>
    <w:rsid w:val="00417E77"/>
    <w:rsid w:val="004201A0"/>
    <w:rsid w:val="00420258"/>
    <w:rsid w:val="0042128B"/>
    <w:rsid w:val="00421A6B"/>
    <w:rsid w:val="00421DBA"/>
    <w:rsid w:val="0042235A"/>
    <w:rsid w:val="004223DB"/>
    <w:rsid w:val="00422937"/>
    <w:rsid w:val="00422C32"/>
    <w:rsid w:val="00423717"/>
    <w:rsid w:val="00423A40"/>
    <w:rsid w:val="00424016"/>
    <w:rsid w:val="0042405F"/>
    <w:rsid w:val="00425F5D"/>
    <w:rsid w:val="00426374"/>
    <w:rsid w:val="004272C9"/>
    <w:rsid w:val="0042733F"/>
    <w:rsid w:val="004274BD"/>
    <w:rsid w:val="00427839"/>
    <w:rsid w:val="00430ADD"/>
    <w:rsid w:val="00430E78"/>
    <w:rsid w:val="004316D1"/>
    <w:rsid w:val="004319BD"/>
    <w:rsid w:val="00432ABA"/>
    <w:rsid w:val="00432E15"/>
    <w:rsid w:val="00433AD0"/>
    <w:rsid w:val="00433FDA"/>
    <w:rsid w:val="004340A1"/>
    <w:rsid w:val="004355A0"/>
    <w:rsid w:val="004357C6"/>
    <w:rsid w:val="00435A4D"/>
    <w:rsid w:val="00436837"/>
    <w:rsid w:val="004369FD"/>
    <w:rsid w:val="0043704B"/>
    <w:rsid w:val="00437873"/>
    <w:rsid w:val="00437DC0"/>
    <w:rsid w:val="00440564"/>
    <w:rsid w:val="00440EAD"/>
    <w:rsid w:val="00441013"/>
    <w:rsid w:val="004410A5"/>
    <w:rsid w:val="004417F5"/>
    <w:rsid w:val="00441BE2"/>
    <w:rsid w:val="00441E16"/>
    <w:rsid w:val="0044318E"/>
    <w:rsid w:val="004432E5"/>
    <w:rsid w:val="00443303"/>
    <w:rsid w:val="00443463"/>
    <w:rsid w:val="00443C18"/>
    <w:rsid w:val="004440EA"/>
    <w:rsid w:val="00444450"/>
    <w:rsid w:val="004449CC"/>
    <w:rsid w:val="00450883"/>
    <w:rsid w:val="00450F8C"/>
    <w:rsid w:val="004516A8"/>
    <w:rsid w:val="0045240A"/>
    <w:rsid w:val="00452987"/>
    <w:rsid w:val="004541C9"/>
    <w:rsid w:val="004553B5"/>
    <w:rsid w:val="00456389"/>
    <w:rsid w:val="004569F9"/>
    <w:rsid w:val="004576BC"/>
    <w:rsid w:val="0046000F"/>
    <w:rsid w:val="00462130"/>
    <w:rsid w:val="00462B6D"/>
    <w:rsid w:val="00462D5C"/>
    <w:rsid w:val="004647C0"/>
    <w:rsid w:val="00466589"/>
    <w:rsid w:val="004666C8"/>
    <w:rsid w:val="0046673B"/>
    <w:rsid w:val="0046689E"/>
    <w:rsid w:val="00466E53"/>
    <w:rsid w:val="00467335"/>
    <w:rsid w:val="0046761C"/>
    <w:rsid w:val="00467C99"/>
    <w:rsid w:val="00470008"/>
    <w:rsid w:val="00470585"/>
    <w:rsid w:val="00470DB8"/>
    <w:rsid w:val="00470FA5"/>
    <w:rsid w:val="00471555"/>
    <w:rsid w:val="00471843"/>
    <w:rsid w:val="00471EF7"/>
    <w:rsid w:val="00472D29"/>
    <w:rsid w:val="00474C36"/>
    <w:rsid w:val="0047534E"/>
    <w:rsid w:val="004761CA"/>
    <w:rsid w:val="004766F1"/>
    <w:rsid w:val="00477ABE"/>
    <w:rsid w:val="00477E49"/>
    <w:rsid w:val="004813F8"/>
    <w:rsid w:val="00481FE6"/>
    <w:rsid w:val="00482816"/>
    <w:rsid w:val="004838AD"/>
    <w:rsid w:val="00484502"/>
    <w:rsid w:val="00484D2D"/>
    <w:rsid w:val="00484DDC"/>
    <w:rsid w:val="00484E94"/>
    <w:rsid w:val="004858F7"/>
    <w:rsid w:val="00485922"/>
    <w:rsid w:val="00486844"/>
    <w:rsid w:val="004902ED"/>
    <w:rsid w:val="004914F3"/>
    <w:rsid w:val="00491CF7"/>
    <w:rsid w:val="00492043"/>
    <w:rsid w:val="0049279D"/>
    <w:rsid w:val="004927ED"/>
    <w:rsid w:val="00493B5D"/>
    <w:rsid w:val="004944C6"/>
    <w:rsid w:val="00494A46"/>
    <w:rsid w:val="0049567D"/>
    <w:rsid w:val="00495EB1"/>
    <w:rsid w:val="00496490"/>
    <w:rsid w:val="0049668D"/>
    <w:rsid w:val="0049773A"/>
    <w:rsid w:val="004979D1"/>
    <w:rsid w:val="00497C67"/>
    <w:rsid w:val="004A09A0"/>
    <w:rsid w:val="004A0BEB"/>
    <w:rsid w:val="004A0F01"/>
    <w:rsid w:val="004A2657"/>
    <w:rsid w:val="004A3535"/>
    <w:rsid w:val="004A3F70"/>
    <w:rsid w:val="004A4117"/>
    <w:rsid w:val="004A4546"/>
    <w:rsid w:val="004A5293"/>
    <w:rsid w:val="004A64E7"/>
    <w:rsid w:val="004B15CC"/>
    <w:rsid w:val="004B1A5B"/>
    <w:rsid w:val="004B1B4F"/>
    <w:rsid w:val="004B1CE3"/>
    <w:rsid w:val="004B2000"/>
    <w:rsid w:val="004B2561"/>
    <w:rsid w:val="004B3EF1"/>
    <w:rsid w:val="004B5428"/>
    <w:rsid w:val="004B55A7"/>
    <w:rsid w:val="004B58FB"/>
    <w:rsid w:val="004B64D6"/>
    <w:rsid w:val="004B655A"/>
    <w:rsid w:val="004B6C15"/>
    <w:rsid w:val="004B70F1"/>
    <w:rsid w:val="004C1549"/>
    <w:rsid w:val="004C2391"/>
    <w:rsid w:val="004C2A69"/>
    <w:rsid w:val="004C2F71"/>
    <w:rsid w:val="004C3119"/>
    <w:rsid w:val="004C4AA4"/>
    <w:rsid w:val="004C4FCA"/>
    <w:rsid w:val="004C6BC9"/>
    <w:rsid w:val="004C733B"/>
    <w:rsid w:val="004C73B3"/>
    <w:rsid w:val="004D0694"/>
    <w:rsid w:val="004D1CFB"/>
    <w:rsid w:val="004D2074"/>
    <w:rsid w:val="004D3C55"/>
    <w:rsid w:val="004D4DD5"/>
    <w:rsid w:val="004D4DD9"/>
    <w:rsid w:val="004D62D7"/>
    <w:rsid w:val="004D6CB4"/>
    <w:rsid w:val="004D7C5E"/>
    <w:rsid w:val="004D7E83"/>
    <w:rsid w:val="004E010F"/>
    <w:rsid w:val="004E0EC6"/>
    <w:rsid w:val="004E159F"/>
    <w:rsid w:val="004E21D1"/>
    <w:rsid w:val="004E2DB0"/>
    <w:rsid w:val="004E3EEC"/>
    <w:rsid w:val="004E4055"/>
    <w:rsid w:val="004E4130"/>
    <w:rsid w:val="004E4460"/>
    <w:rsid w:val="004E62BD"/>
    <w:rsid w:val="004F0E7A"/>
    <w:rsid w:val="004F32E7"/>
    <w:rsid w:val="004F3976"/>
    <w:rsid w:val="004F3A9C"/>
    <w:rsid w:val="004F40F1"/>
    <w:rsid w:val="004F4472"/>
    <w:rsid w:val="004F4804"/>
    <w:rsid w:val="004F4E50"/>
    <w:rsid w:val="004F5368"/>
    <w:rsid w:val="004F54A4"/>
    <w:rsid w:val="004F6A52"/>
    <w:rsid w:val="004F6DD2"/>
    <w:rsid w:val="004F7332"/>
    <w:rsid w:val="004F7E21"/>
    <w:rsid w:val="00500F1E"/>
    <w:rsid w:val="005010B8"/>
    <w:rsid w:val="00501314"/>
    <w:rsid w:val="00501B61"/>
    <w:rsid w:val="005027B9"/>
    <w:rsid w:val="00503736"/>
    <w:rsid w:val="005037C6"/>
    <w:rsid w:val="00503B15"/>
    <w:rsid w:val="00503D2A"/>
    <w:rsid w:val="0050414D"/>
    <w:rsid w:val="00504F38"/>
    <w:rsid w:val="00505166"/>
    <w:rsid w:val="0050527F"/>
    <w:rsid w:val="00505A6D"/>
    <w:rsid w:val="0050624A"/>
    <w:rsid w:val="0050716B"/>
    <w:rsid w:val="00507171"/>
    <w:rsid w:val="005101E2"/>
    <w:rsid w:val="0051120E"/>
    <w:rsid w:val="00511260"/>
    <w:rsid w:val="00511A30"/>
    <w:rsid w:val="005120BE"/>
    <w:rsid w:val="005123E8"/>
    <w:rsid w:val="00512FA8"/>
    <w:rsid w:val="00513962"/>
    <w:rsid w:val="005141C7"/>
    <w:rsid w:val="00514EEE"/>
    <w:rsid w:val="00516A4F"/>
    <w:rsid w:val="005200AB"/>
    <w:rsid w:val="00520159"/>
    <w:rsid w:val="005205D4"/>
    <w:rsid w:val="00520E44"/>
    <w:rsid w:val="00520E83"/>
    <w:rsid w:val="00520EBB"/>
    <w:rsid w:val="00521E64"/>
    <w:rsid w:val="00523DC9"/>
    <w:rsid w:val="00524699"/>
    <w:rsid w:val="00525536"/>
    <w:rsid w:val="00526535"/>
    <w:rsid w:val="00527160"/>
    <w:rsid w:val="00527668"/>
    <w:rsid w:val="0052777C"/>
    <w:rsid w:val="00527C61"/>
    <w:rsid w:val="00527EE6"/>
    <w:rsid w:val="00531FF8"/>
    <w:rsid w:val="00532DF4"/>
    <w:rsid w:val="00534148"/>
    <w:rsid w:val="00534960"/>
    <w:rsid w:val="00537D59"/>
    <w:rsid w:val="00540D45"/>
    <w:rsid w:val="005411FB"/>
    <w:rsid w:val="005417DD"/>
    <w:rsid w:val="0054391B"/>
    <w:rsid w:val="00544048"/>
    <w:rsid w:val="00545C1D"/>
    <w:rsid w:val="00545DEA"/>
    <w:rsid w:val="00545E61"/>
    <w:rsid w:val="00545F80"/>
    <w:rsid w:val="00546DE5"/>
    <w:rsid w:val="00546E57"/>
    <w:rsid w:val="00547866"/>
    <w:rsid w:val="00547D07"/>
    <w:rsid w:val="005508E1"/>
    <w:rsid w:val="00550ED3"/>
    <w:rsid w:val="005516D2"/>
    <w:rsid w:val="00551A72"/>
    <w:rsid w:val="00551CB9"/>
    <w:rsid w:val="00552322"/>
    <w:rsid w:val="00552584"/>
    <w:rsid w:val="00552ABA"/>
    <w:rsid w:val="00552CD0"/>
    <w:rsid w:val="00553AD7"/>
    <w:rsid w:val="00554AD7"/>
    <w:rsid w:val="00554E1A"/>
    <w:rsid w:val="00555586"/>
    <w:rsid w:val="0055563E"/>
    <w:rsid w:val="00555D9D"/>
    <w:rsid w:val="005561A1"/>
    <w:rsid w:val="005577FF"/>
    <w:rsid w:val="00557D2F"/>
    <w:rsid w:val="00560302"/>
    <w:rsid w:val="00560820"/>
    <w:rsid w:val="005616F8"/>
    <w:rsid w:val="00562877"/>
    <w:rsid w:val="00562FD2"/>
    <w:rsid w:val="00563DAF"/>
    <w:rsid w:val="00563EE9"/>
    <w:rsid w:val="005644A0"/>
    <w:rsid w:val="005645D8"/>
    <w:rsid w:val="00564DD8"/>
    <w:rsid w:val="0056537C"/>
    <w:rsid w:val="005657E7"/>
    <w:rsid w:val="005666BF"/>
    <w:rsid w:val="00566BC0"/>
    <w:rsid w:val="00567308"/>
    <w:rsid w:val="00570075"/>
    <w:rsid w:val="0057017F"/>
    <w:rsid w:val="00570486"/>
    <w:rsid w:val="00570CB6"/>
    <w:rsid w:val="00570FB2"/>
    <w:rsid w:val="005714F0"/>
    <w:rsid w:val="00572B19"/>
    <w:rsid w:val="00572ECC"/>
    <w:rsid w:val="005736EC"/>
    <w:rsid w:val="00573D94"/>
    <w:rsid w:val="005743BF"/>
    <w:rsid w:val="00574D0F"/>
    <w:rsid w:val="005757C4"/>
    <w:rsid w:val="00575A56"/>
    <w:rsid w:val="00576C66"/>
    <w:rsid w:val="00577858"/>
    <w:rsid w:val="00577ECE"/>
    <w:rsid w:val="0058045E"/>
    <w:rsid w:val="005804ED"/>
    <w:rsid w:val="00580BEB"/>
    <w:rsid w:val="00581E3F"/>
    <w:rsid w:val="00581F00"/>
    <w:rsid w:val="00582303"/>
    <w:rsid w:val="00582B02"/>
    <w:rsid w:val="00583765"/>
    <w:rsid w:val="00583B96"/>
    <w:rsid w:val="00583CB1"/>
    <w:rsid w:val="00583F0A"/>
    <w:rsid w:val="005848B5"/>
    <w:rsid w:val="00584EF2"/>
    <w:rsid w:val="00585ADF"/>
    <w:rsid w:val="005871EB"/>
    <w:rsid w:val="00587950"/>
    <w:rsid w:val="005904FF"/>
    <w:rsid w:val="00590B01"/>
    <w:rsid w:val="00590B91"/>
    <w:rsid w:val="005910BD"/>
    <w:rsid w:val="00591D05"/>
    <w:rsid w:val="0059272E"/>
    <w:rsid w:val="00592C93"/>
    <w:rsid w:val="005938AF"/>
    <w:rsid w:val="0059391D"/>
    <w:rsid w:val="00593D2F"/>
    <w:rsid w:val="0059446A"/>
    <w:rsid w:val="00594ACD"/>
    <w:rsid w:val="00596657"/>
    <w:rsid w:val="00596BE4"/>
    <w:rsid w:val="0059719B"/>
    <w:rsid w:val="0059775F"/>
    <w:rsid w:val="00597909"/>
    <w:rsid w:val="005979A9"/>
    <w:rsid w:val="005A0240"/>
    <w:rsid w:val="005A03D9"/>
    <w:rsid w:val="005A0A55"/>
    <w:rsid w:val="005A0DFC"/>
    <w:rsid w:val="005A163A"/>
    <w:rsid w:val="005A29A8"/>
    <w:rsid w:val="005A2A39"/>
    <w:rsid w:val="005A2CC9"/>
    <w:rsid w:val="005A2D91"/>
    <w:rsid w:val="005A30EA"/>
    <w:rsid w:val="005A324E"/>
    <w:rsid w:val="005A3A8D"/>
    <w:rsid w:val="005A447C"/>
    <w:rsid w:val="005A4BF1"/>
    <w:rsid w:val="005A5120"/>
    <w:rsid w:val="005A55D2"/>
    <w:rsid w:val="005A6661"/>
    <w:rsid w:val="005A6D7B"/>
    <w:rsid w:val="005A7FEC"/>
    <w:rsid w:val="005B1385"/>
    <w:rsid w:val="005B31B5"/>
    <w:rsid w:val="005B396E"/>
    <w:rsid w:val="005B42A6"/>
    <w:rsid w:val="005B42F1"/>
    <w:rsid w:val="005B4416"/>
    <w:rsid w:val="005B456A"/>
    <w:rsid w:val="005B4709"/>
    <w:rsid w:val="005B57DD"/>
    <w:rsid w:val="005B6411"/>
    <w:rsid w:val="005B76E1"/>
    <w:rsid w:val="005C0282"/>
    <w:rsid w:val="005C04B1"/>
    <w:rsid w:val="005C060A"/>
    <w:rsid w:val="005C0FF3"/>
    <w:rsid w:val="005C1509"/>
    <w:rsid w:val="005C1ADF"/>
    <w:rsid w:val="005C2027"/>
    <w:rsid w:val="005C23AF"/>
    <w:rsid w:val="005C2439"/>
    <w:rsid w:val="005C2491"/>
    <w:rsid w:val="005C2885"/>
    <w:rsid w:val="005C29C5"/>
    <w:rsid w:val="005C3188"/>
    <w:rsid w:val="005C3698"/>
    <w:rsid w:val="005C39F9"/>
    <w:rsid w:val="005C3A0B"/>
    <w:rsid w:val="005C4A91"/>
    <w:rsid w:val="005C5499"/>
    <w:rsid w:val="005C6CA2"/>
    <w:rsid w:val="005C6D50"/>
    <w:rsid w:val="005C74C3"/>
    <w:rsid w:val="005C78F1"/>
    <w:rsid w:val="005D14DE"/>
    <w:rsid w:val="005D38F8"/>
    <w:rsid w:val="005D41B1"/>
    <w:rsid w:val="005D4535"/>
    <w:rsid w:val="005D46D9"/>
    <w:rsid w:val="005D55A4"/>
    <w:rsid w:val="005D7212"/>
    <w:rsid w:val="005D7238"/>
    <w:rsid w:val="005D7492"/>
    <w:rsid w:val="005D765E"/>
    <w:rsid w:val="005D7AD2"/>
    <w:rsid w:val="005E082A"/>
    <w:rsid w:val="005E11EE"/>
    <w:rsid w:val="005E1AD0"/>
    <w:rsid w:val="005E1B02"/>
    <w:rsid w:val="005E31C5"/>
    <w:rsid w:val="005E3742"/>
    <w:rsid w:val="005E39D9"/>
    <w:rsid w:val="005E42DC"/>
    <w:rsid w:val="005E4D57"/>
    <w:rsid w:val="005E5314"/>
    <w:rsid w:val="005E58BA"/>
    <w:rsid w:val="005E5D94"/>
    <w:rsid w:val="005E688C"/>
    <w:rsid w:val="005F1CB0"/>
    <w:rsid w:val="005F2518"/>
    <w:rsid w:val="005F29DB"/>
    <w:rsid w:val="005F2D1E"/>
    <w:rsid w:val="005F2F24"/>
    <w:rsid w:val="005F3252"/>
    <w:rsid w:val="005F34A6"/>
    <w:rsid w:val="005F3CA7"/>
    <w:rsid w:val="005F5946"/>
    <w:rsid w:val="005F5B2C"/>
    <w:rsid w:val="005F6082"/>
    <w:rsid w:val="005F68C5"/>
    <w:rsid w:val="005F7733"/>
    <w:rsid w:val="00602419"/>
    <w:rsid w:val="00602FCE"/>
    <w:rsid w:val="00603A7E"/>
    <w:rsid w:val="00604AAB"/>
    <w:rsid w:val="006051AA"/>
    <w:rsid w:val="006052DC"/>
    <w:rsid w:val="00607DCA"/>
    <w:rsid w:val="00610182"/>
    <w:rsid w:val="006105F5"/>
    <w:rsid w:val="0061066A"/>
    <w:rsid w:val="00610929"/>
    <w:rsid w:val="00610BDC"/>
    <w:rsid w:val="0061176B"/>
    <w:rsid w:val="00611A40"/>
    <w:rsid w:val="00611FF3"/>
    <w:rsid w:val="0061234E"/>
    <w:rsid w:val="00612708"/>
    <w:rsid w:val="00613536"/>
    <w:rsid w:val="00613DF0"/>
    <w:rsid w:val="006143BE"/>
    <w:rsid w:val="006148FE"/>
    <w:rsid w:val="00614AF4"/>
    <w:rsid w:val="00615248"/>
    <w:rsid w:val="00615A6D"/>
    <w:rsid w:val="00615F83"/>
    <w:rsid w:val="00616526"/>
    <w:rsid w:val="00616596"/>
    <w:rsid w:val="0061696F"/>
    <w:rsid w:val="00616C74"/>
    <w:rsid w:val="00616F20"/>
    <w:rsid w:val="00617D95"/>
    <w:rsid w:val="00620436"/>
    <w:rsid w:val="00620BA2"/>
    <w:rsid w:val="00620EB8"/>
    <w:rsid w:val="006211A1"/>
    <w:rsid w:val="00621E98"/>
    <w:rsid w:val="00622B1E"/>
    <w:rsid w:val="00622F76"/>
    <w:rsid w:val="006233D1"/>
    <w:rsid w:val="00624050"/>
    <w:rsid w:val="0062513F"/>
    <w:rsid w:val="00625452"/>
    <w:rsid w:val="00625784"/>
    <w:rsid w:val="00627D51"/>
    <w:rsid w:val="00627E5B"/>
    <w:rsid w:val="006305C7"/>
    <w:rsid w:val="00630990"/>
    <w:rsid w:val="00630C7A"/>
    <w:rsid w:val="00630EEB"/>
    <w:rsid w:val="00631522"/>
    <w:rsid w:val="00631A84"/>
    <w:rsid w:val="006321EC"/>
    <w:rsid w:val="0063235C"/>
    <w:rsid w:val="00632D60"/>
    <w:rsid w:val="0063328B"/>
    <w:rsid w:val="00633BC7"/>
    <w:rsid w:val="00633DA7"/>
    <w:rsid w:val="00633F30"/>
    <w:rsid w:val="006342EF"/>
    <w:rsid w:val="0063485C"/>
    <w:rsid w:val="00635545"/>
    <w:rsid w:val="006355B9"/>
    <w:rsid w:val="0063633F"/>
    <w:rsid w:val="00636362"/>
    <w:rsid w:val="00636EEA"/>
    <w:rsid w:val="00637C2F"/>
    <w:rsid w:val="00640381"/>
    <w:rsid w:val="006406B5"/>
    <w:rsid w:val="00640D4E"/>
    <w:rsid w:val="00640F08"/>
    <w:rsid w:val="0064101C"/>
    <w:rsid w:val="00641043"/>
    <w:rsid w:val="006410AC"/>
    <w:rsid w:val="00641AC6"/>
    <w:rsid w:val="00642191"/>
    <w:rsid w:val="0064223F"/>
    <w:rsid w:val="00642371"/>
    <w:rsid w:val="00643610"/>
    <w:rsid w:val="00643854"/>
    <w:rsid w:val="00643A23"/>
    <w:rsid w:val="0064507B"/>
    <w:rsid w:val="00645C6B"/>
    <w:rsid w:val="00646003"/>
    <w:rsid w:val="00646352"/>
    <w:rsid w:val="0064641E"/>
    <w:rsid w:val="00646641"/>
    <w:rsid w:val="006466F4"/>
    <w:rsid w:val="00646A24"/>
    <w:rsid w:val="00646EF1"/>
    <w:rsid w:val="0065010C"/>
    <w:rsid w:val="006513FC"/>
    <w:rsid w:val="00651480"/>
    <w:rsid w:val="00651A1C"/>
    <w:rsid w:val="00651C0C"/>
    <w:rsid w:val="00653E64"/>
    <w:rsid w:val="00654346"/>
    <w:rsid w:val="0065451B"/>
    <w:rsid w:val="00654744"/>
    <w:rsid w:val="00655107"/>
    <w:rsid w:val="006551F3"/>
    <w:rsid w:val="00655277"/>
    <w:rsid w:val="00655E57"/>
    <w:rsid w:val="006567D2"/>
    <w:rsid w:val="00656BC1"/>
    <w:rsid w:val="00657513"/>
    <w:rsid w:val="00657DF3"/>
    <w:rsid w:val="00662234"/>
    <w:rsid w:val="00662383"/>
    <w:rsid w:val="006625B6"/>
    <w:rsid w:val="00662C16"/>
    <w:rsid w:val="0066386D"/>
    <w:rsid w:val="00664596"/>
    <w:rsid w:val="006647DA"/>
    <w:rsid w:val="0066499A"/>
    <w:rsid w:val="00665016"/>
    <w:rsid w:val="00665195"/>
    <w:rsid w:val="00666292"/>
    <w:rsid w:val="0066656A"/>
    <w:rsid w:val="00666A6B"/>
    <w:rsid w:val="00666EBB"/>
    <w:rsid w:val="0066732A"/>
    <w:rsid w:val="006674BB"/>
    <w:rsid w:val="00667E8E"/>
    <w:rsid w:val="0067139F"/>
    <w:rsid w:val="0067178B"/>
    <w:rsid w:val="0067287D"/>
    <w:rsid w:val="00672E04"/>
    <w:rsid w:val="00672EA5"/>
    <w:rsid w:val="00672F20"/>
    <w:rsid w:val="00673139"/>
    <w:rsid w:val="0067371E"/>
    <w:rsid w:val="00673879"/>
    <w:rsid w:val="006738B5"/>
    <w:rsid w:val="006744F1"/>
    <w:rsid w:val="00675130"/>
    <w:rsid w:val="006758AC"/>
    <w:rsid w:val="006759AE"/>
    <w:rsid w:val="00675E83"/>
    <w:rsid w:val="006766A5"/>
    <w:rsid w:val="0067678E"/>
    <w:rsid w:val="006769A1"/>
    <w:rsid w:val="00676FDC"/>
    <w:rsid w:val="006771AA"/>
    <w:rsid w:val="00680583"/>
    <w:rsid w:val="006818F4"/>
    <w:rsid w:val="00681BF3"/>
    <w:rsid w:val="006823B3"/>
    <w:rsid w:val="00682F67"/>
    <w:rsid w:val="0068334A"/>
    <w:rsid w:val="0068387D"/>
    <w:rsid w:val="00683995"/>
    <w:rsid w:val="00683E9F"/>
    <w:rsid w:val="00684FB9"/>
    <w:rsid w:val="00685704"/>
    <w:rsid w:val="0068695C"/>
    <w:rsid w:val="00686D61"/>
    <w:rsid w:val="0068720F"/>
    <w:rsid w:val="006875C6"/>
    <w:rsid w:val="0069011D"/>
    <w:rsid w:val="00690256"/>
    <w:rsid w:val="00692242"/>
    <w:rsid w:val="00692646"/>
    <w:rsid w:val="00692AEC"/>
    <w:rsid w:val="00693030"/>
    <w:rsid w:val="006930E2"/>
    <w:rsid w:val="006936BE"/>
    <w:rsid w:val="006938DD"/>
    <w:rsid w:val="00693A61"/>
    <w:rsid w:val="00693CFF"/>
    <w:rsid w:val="006941C8"/>
    <w:rsid w:val="00694232"/>
    <w:rsid w:val="00695A65"/>
    <w:rsid w:val="0069718A"/>
    <w:rsid w:val="006A01EA"/>
    <w:rsid w:val="006A1951"/>
    <w:rsid w:val="006A31EC"/>
    <w:rsid w:val="006A3283"/>
    <w:rsid w:val="006A39CD"/>
    <w:rsid w:val="006A41E0"/>
    <w:rsid w:val="006A4236"/>
    <w:rsid w:val="006A5AB5"/>
    <w:rsid w:val="006A5BF3"/>
    <w:rsid w:val="006A5CAB"/>
    <w:rsid w:val="006A63CF"/>
    <w:rsid w:val="006A6847"/>
    <w:rsid w:val="006A6DD6"/>
    <w:rsid w:val="006A730A"/>
    <w:rsid w:val="006A7471"/>
    <w:rsid w:val="006A7A46"/>
    <w:rsid w:val="006A7F53"/>
    <w:rsid w:val="006A7F88"/>
    <w:rsid w:val="006B0C30"/>
    <w:rsid w:val="006B2022"/>
    <w:rsid w:val="006B2E01"/>
    <w:rsid w:val="006B2F48"/>
    <w:rsid w:val="006B33FE"/>
    <w:rsid w:val="006B40B6"/>
    <w:rsid w:val="006B40BA"/>
    <w:rsid w:val="006B4645"/>
    <w:rsid w:val="006B48D0"/>
    <w:rsid w:val="006B5409"/>
    <w:rsid w:val="006B580F"/>
    <w:rsid w:val="006B6052"/>
    <w:rsid w:val="006B6741"/>
    <w:rsid w:val="006B68FA"/>
    <w:rsid w:val="006B710A"/>
    <w:rsid w:val="006B743E"/>
    <w:rsid w:val="006B7E4F"/>
    <w:rsid w:val="006C04AB"/>
    <w:rsid w:val="006C04FB"/>
    <w:rsid w:val="006C14DF"/>
    <w:rsid w:val="006C2AB2"/>
    <w:rsid w:val="006C2E2B"/>
    <w:rsid w:val="006C2F66"/>
    <w:rsid w:val="006C2F8F"/>
    <w:rsid w:val="006C3C52"/>
    <w:rsid w:val="006C4AEC"/>
    <w:rsid w:val="006C4FE7"/>
    <w:rsid w:val="006C4FFC"/>
    <w:rsid w:val="006C587E"/>
    <w:rsid w:val="006C7461"/>
    <w:rsid w:val="006C7D24"/>
    <w:rsid w:val="006D0C3D"/>
    <w:rsid w:val="006D15BB"/>
    <w:rsid w:val="006D1E9D"/>
    <w:rsid w:val="006D1F3C"/>
    <w:rsid w:val="006D30E6"/>
    <w:rsid w:val="006D3C09"/>
    <w:rsid w:val="006D4742"/>
    <w:rsid w:val="006D4BB0"/>
    <w:rsid w:val="006D57AF"/>
    <w:rsid w:val="006D58A7"/>
    <w:rsid w:val="006D59D8"/>
    <w:rsid w:val="006D7241"/>
    <w:rsid w:val="006E02E7"/>
    <w:rsid w:val="006E1373"/>
    <w:rsid w:val="006E1723"/>
    <w:rsid w:val="006E27C4"/>
    <w:rsid w:val="006E2BFE"/>
    <w:rsid w:val="006E4DEC"/>
    <w:rsid w:val="006E515A"/>
    <w:rsid w:val="006E52EF"/>
    <w:rsid w:val="006E6C9B"/>
    <w:rsid w:val="006E7429"/>
    <w:rsid w:val="006E7FBD"/>
    <w:rsid w:val="006F06A4"/>
    <w:rsid w:val="006F1C6F"/>
    <w:rsid w:val="006F29E2"/>
    <w:rsid w:val="006F2A4E"/>
    <w:rsid w:val="006F497D"/>
    <w:rsid w:val="006F56CC"/>
    <w:rsid w:val="007001E7"/>
    <w:rsid w:val="007002FB"/>
    <w:rsid w:val="007003CB"/>
    <w:rsid w:val="00701738"/>
    <w:rsid w:val="00701F2E"/>
    <w:rsid w:val="0070396D"/>
    <w:rsid w:val="00703A3A"/>
    <w:rsid w:val="00703F05"/>
    <w:rsid w:val="00704185"/>
    <w:rsid w:val="0070488C"/>
    <w:rsid w:val="00705087"/>
    <w:rsid w:val="00705329"/>
    <w:rsid w:val="00705782"/>
    <w:rsid w:val="0070587C"/>
    <w:rsid w:val="00706BE8"/>
    <w:rsid w:val="0070718B"/>
    <w:rsid w:val="0070745F"/>
    <w:rsid w:val="00710354"/>
    <w:rsid w:val="00710832"/>
    <w:rsid w:val="00711834"/>
    <w:rsid w:val="00711875"/>
    <w:rsid w:val="00711B71"/>
    <w:rsid w:val="00711D34"/>
    <w:rsid w:val="00713FEE"/>
    <w:rsid w:val="0071528F"/>
    <w:rsid w:val="00715AA7"/>
    <w:rsid w:val="0071614C"/>
    <w:rsid w:val="007161F9"/>
    <w:rsid w:val="00716F41"/>
    <w:rsid w:val="0071772C"/>
    <w:rsid w:val="00717F15"/>
    <w:rsid w:val="00720952"/>
    <w:rsid w:val="00720D80"/>
    <w:rsid w:val="00721409"/>
    <w:rsid w:val="0072140E"/>
    <w:rsid w:val="00721481"/>
    <w:rsid w:val="0072197E"/>
    <w:rsid w:val="00721CD8"/>
    <w:rsid w:val="00723089"/>
    <w:rsid w:val="00723161"/>
    <w:rsid w:val="00723DBD"/>
    <w:rsid w:val="00723E42"/>
    <w:rsid w:val="00724CFC"/>
    <w:rsid w:val="0072537D"/>
    <w:rsid w:val="00725EC6"/>
    <w:rsid w:val="007265DD"/>
    <w:rsid w:val="00727214"/>
    <w:rsid w:val="007300EB"/>
    <w:rsid w:val="0073038E"/>
    <w:rsid w:val="00732807"/>
    <w:rsid w:val="00732D20"/>
    <w:rsid w:val="00733B1C"/>
    <w:rsid w:val="00733CBB"/>
    <w:rsid w:val="0073425C"/>
    <w:rsid w:val="00735027"/>
    <w:rsid w:val="00735691"/>
    <w:rsid w:val="00735FD3"/>
    <w:rsid w:val="00736386"/>
    <w:rsid w:val="00736FBE"/>
    <w:rsid w:val="0073740D"/>
    <w:rsid w:val="0074027D"/>
    <w:rsid w:val="00740A8C"/>
    <w:rsid w:val="00741864"/>
    <w:rsid w:val="0074254D"/>
    <w:rsid w:val="007431C0"/>
    <w:rsid w:val="00743CC3"/>
    <w:rsid w:val="00743F9F"/>
    <w:rsid w:val="0074483D"/>
    <w:rsid w:val="00747082"/>
    <w:rsid w:val="0074795B"/>
    <w:rsid w:val="00751A16"/>
    <w:rsid w:val="00751B81"/>
    <w:rsid w:val="00751CBA"/>
    <w:rsid w:val="00751DBF"/>
    <w:rsid w:val="0075297F"/>
    <w:rsid w:val="00753310"/>
    <w:rsid w:val="00753539"/>
    <w:rsid w:val="00753611"/>
    <w:rsid w:val="00753946"/>
    <w:rsid w:val="00753AFF"/>
    <w:rsid w:val="00753C0B"/>
    <w:rsid w:val="007545B1"/>
    <w:rsid w:val="00756712"/>
    <w:rsid w:val="00756E67"/>
    <w:rsid w:val="007574D9"/>
    <w:rsid w:val="0075786C"/>
    <w:rsid w:val="00757AA1"/>
    <w:rsid w:val="00757B30"/>
    <w:rsid w:val="00757DFF"/>
    <w:rsid w:val="007600AC"/>
    <w:rsid w:val="00760B43"/>
    <w:rsid w:val="0076102A"/>
    <w:rsid w:val="0076190A"/>
    <w:rsid w:val="00761B13"/>
    <w:rsid w:val="00762024"/>
    <w:rsid w:val="007632F2"/>
    <w:rsid w:val="0076377B"/>
    <w:rsid w:val="00763E53"/>
    <w:rsid w:val="0076498D"/>
    <w:rsid w:val="007653CB"/>
    <w:rsid w:val="00765BDB"/>
    <w:rsid w:val="007661B2"/>
    <w:rsid w:val="00767502"/>
    <w:rsid w:val="0077094F"/>
    <w:rsid w:val="00770C9B"/>
    <w:rsid w:val="00770F1D"/>
    <w:rsid w:val="0077112D"/>
    <w:rsid w:val="00771E34"/>
    <w:rsid w:val="00772FDF"/>
    <w:rsid w:val="0077350B"/>
    <w:rsid w:val="00773818"/>
    <w:rsid w:val="00773942"/>
    <w:rsid w:val="00773B40"/>
    <w:rsid w:val="00774275"/>
    <w:rsid w:val="00774E3B"/>
    <w:rsid w:val="00775A56"/>
    <w:rsid w:val="00775FE8"/>
    <w:rsid w:val="00776021"/>
    <w:rsid w:val="00776183"/>
    <w:rsid w:val="00776DC1"/>
    <w:rsid w:val="007770A0"/>
    <w:rsid w:val="00777CB4"/>
    <w:rsid w:val="0078001E"/>
    <w:rsid w:val="00780675"/>
    <w:rsid w:val="0078172A"/>
    <w:rsid w:val="00781EC5"/>
    <w:rsid w:val="00781F90"/>
    <w:rsid w:val="0078234F"/>
    <w:rsid w:val="007824C4"/>
    <w:rsid w:val="00783E8F"/>
    <w:rsid w:val="00784551"/>
    <w:rsid w:val="0078470B"/>
    <w:rsid w:val="00784CA7"/>
    <w:rsid w:val="00784E5E"/>
    <w:rsid w:val="00785627"/>
    <w:rsid w:val="007857B3"/>
    <w:rsid w:val="00785874"/>
    <w:rsid w:val="00786004"/>
    <w:rsid w:val="00786EC9"/>
    <w:rsid w:val="0078766E"/>
    <w:rsid w:val="007902E4"/>
    <w:rsid w:val="00791132"/>
    <w:rsid w:val="0079139F"/>
    <w:rsid w:val="007917F7"/>
    <w:rsid w:val="00791B78"/>
    <w:rsid w:val="00791FF3"/>
    <w:rsid w:val="00792FC1"/>
    <w:rsid w:val="00793C4B"/>
    <w:rsid w:val="007942DC"/>
    <w:rsid w:val="0079452F"/>
    <w:rsid w:val="00794546"/>
    <w:rsid w:val="00794EBC"/>
    <w:rsid w:val="00795099"/>
    <w:rsid w:val="00795826"/>
    <w:rsid w:val="00795DD2"/>
    <w:rsid w:val="00796BD8"/>
    <w:rsid w:val="00797657"/>
    <w:rsid w:val="007978CC"/>
    <w:rsid w:val="007A0668"/>
    <w:rsid w:val="007A0945"/>
    <w:rsid w:val="007A0DC8"/>
    <w:rsid w:val="007A1025"/>
    <w:rsid w:val="007A11BE"/>
    <w:rsid w:val="007A1268"/>
    <w:rsid w:val="007A1F70"/>
    <w:rsid w:val="007A2969"/>
    <w:rsid w:val="007A2EAE"/>
    <w:rsid w:val="007A320D"/>
    <w:rsid w:val="007A33CF"/>
    <w:rsid w:val="007A3673"/>
    <w:rsid w:val="007A3C20"/>
    <w:rsid w:val="007A4AEE"/>
    <w:rsid w:val="007A4D70"/>
    <w:rsid w:val="007A55C4"/>
    <w:rsid w:val="007A5AA9"/>
    <w:rsid w:val="007A5FC5"/>
    <w:rsid w:val="007A62F1"/>
    <w:rsid w:val="007A6DAB"/>
    <w:rsid w:val="007A6FFA"/>
    <w:rsid w:val="007A7F64"/>
    <w:rsid w:val="007A7FF0"/>
    <w:rsid w:val="007B0107"/>
    <w:rsid w:val="007B03D6"/>
    <w:rsid w:val="007B0674"/>
    <w:rsid w:val="007B0794"/>
    <w:rsid w:val="007B17F6"/>
    <w:rsid w:val="007B2080"/>
    <w:rsid w:val="007B2184"/>
    <w:rsid w:val="007B23A2"/>
    <w:rsid w:val="007B331A"/>
    <w:rsid w:val="007B399C"/>
    <w:rsid w:val="007B41A5"/>
    <w:rsid w:val="007B6788"/>
    <w:rsid w:val="007B67C2"/>
    <w:rsid w:val="007B6C86"/>
    <w:rsid w:val="007B6E00"/>
    <w:rsid w:val="007B6EAA"/>
    <w:rsid w:val="007B7775"/>
    <w:rsid w:val="007B7B90"/>
    <w:rsid w:val="007B7C16"/>
    <w:rsid w:val="007C16DC"/>
    <w:rsid w:val="007C177F"/>
    <w:rsid w:val="007C27CF"/>
    <w:rsid w:val="007C27E3"/>
    <w:rsid w:val="007C2D90"/>
    <w:rsid w:val="007C3D49"/>
    <w:rsid w:val="007C45B4"/>
    <w:rsid w:val="007C460D"/>
    <w:rsid w:val="007C477E"/>
    <w:rsid w:val="007C48D6"/>
    <w:rsid w:val="007C4A4D"/>
    <w:rsid w:val="007C4D12"/>
    <w:rsid w:val="007C5B77"/>
    <w:rsid w:val="007C64D9"/>
    <w:rsid w:val="007C6D0F"/>
    <w:rsid w:val="007D0410"/>
    <w:rsid w:val="007D0C47"/>
    <w:rsid w:val="007D19CB"/>
    <w:rsid w:val="007D2992"/>
    <w:rsid w:val="007D29D7"/>
    <w:rsid w:val="007D2EAD"/>
    <w:rsid w:val="007D4A41"/>
    <w:rsid w:val="007D51EF"/>
    <w:rsid w:val="007D521D"/>
    <w:rsid w:val="007D534C"/>
    <w:rsid w:val="007D6E25"/>
    <w:rsid w:val="007D6E44"/>
    <w:rsid w:val="007E05A8"/>
    <w:rsid w:val="007E0BEF"/>
    <w:rsid w:val="007E0C35"/>
    <w:rsid w:val="007E183A"/>
    <w:rsid w:val="007E2D72"/>
    <w:rsid w:val="007E2E46"/>
    <w:rsid w:val="007E364A"/>
    <w:rsid w:val="007E3928"/>
    <w:rsid w:val="007E4372"/>
    <w:rsid w:val="007E4DA8"/>
    <w:rsid w:val="007E530D"/>
    <w:rsid w:val="007E6FDE"/>
    <w:rsid w:val="007E7B31"/>
    <w:rsid w:val="007F111E"/>
    <w:rsid w:val="007F2062"/>
    <w:rsid w:val="007F3735"/>
    <w:rsid w:val="007F373C"/>
    <w:rsid w:val="007F45CB"/>
    <w:rsid w:val="007F4794"/>
    <w:rsid w:val="007F4AB1"/>
    <w:rsid w:val="007F4F55"/>
    <w:rsid w:val="007F56D2"/>
    <w:rsid w:val="007F59F1"/>
    <w:rsid w:val="007F674B"/>
    <w:rsid w:val="007F6E16"/>
    <w:rsid w:val="007F6E49"/>
    <w:rsid w:val="00800FB0"/>
    <w:rsid w:val="008017BC"/>
    <w:rsid w:val="008017D3"/>
    <w:rsid w:val="00801F2C"/>
    <w:rsid w:val="0080204B"/>
    <w:rsid w:val="008056BC"/>
    <w:rsid w:val="00806798"/>
    <w:rsid w:val="008076B9"/>
    <w:rsid w:val="008108EC"/>
    <w:rsid w:val="00810FDA"/>
    <w:rsid w:val="00811077"/>
    <w:rsid w:val="00811AA8"/>
    <w:rsid w:val="00811EE6"/>
    <w:rsid w:val="00812D74"/>
    <w:rsid w:val="0081350A"/>
    <w:rsid w:val="00814895"/>
    <w:rsid w:val="0081493D"/>
    <w:rsid w:val="008153AE"/>
    <w:rsid w:val="00815464"/>
    <w:rsid w:val="00816B4C"/>
    <w:rsid w:val="008171D6"/>
    <w:rsid w:val="0081772D"/>
    <w:rsid w:val="008202DB"/>
    <w:rsid w:val="00820318"/>
    <w:rsid w:val="008203BE"/>
    <w:rsid w:val="008208F8"/>
    <w:rsid w:val="00820FF6"/>
    <w:rsid w:val="008210BD"/>
    <w:rsid w:val="008220FC"/>
    <w:rsid w:val="0082222B"/>
    <w:rsid w:val="00822A8A"/>
    <w:rsid w:val="00823358"/>
    <w:rsid w:val="0082336F"/>
    <w:rsid w:val="008235BC"/>
    <w:rsid w:val="00824C0B"/>
    <w:rsid w:val="00825678"/>
    <w:rsid w:val="00825DF5"/>
    <w:rsid w:val="00825F64"/>
    <w:rsid w:val="008262BD"/>
    <w:rsid w:val="00827BBD"/>
    <w:rsid w:val="00827FCD"/>
    <w:rsid w:val="00831F65"/>
    <w:rsid w:val="00831FDC"/>
    <w:rsid w:val="00835F2F"/>
    <w:rsid w:val="0083613C"/>
    <w:rsid w:val="0083773B"/>
    <w:rsid w:val="00837BA2"/>
    <w:rsid w:val="008405FC"/>
    <w:rsid w:val="00842385"/>
    <w:rsid w:val="00844E79"/>
    <w:rsid w:val="008456FD"/>
    <w:rsid w:val="00845B37"/>
    <w:rsid w:val="00846560"/>
    <w:rsid w:val="00846646"/>
    <w:rsid w:val="0084664D"/>
    <w:rsid w:val="008469B5"/>
    <w:rsid w:val="00847141"/>
    <w:rsid w:val="00847688"/>
    <w:rsid w:val="0085062B"/>
    <w:rsid w:val="0085096C"/>
    <w:rsid w:val="008515B3"/>
    <w:rsid w:val="0085176D"/>
    <w:rsid w:val="00851782"/>
    <w:rsid w:val="0085192C"/>
    <w:rsid w:val="00852B3C"/>
    <w:rsid w:val="00852CEA"/>
    <w:rsid w:val="008534E0"/>
    <w:rsid w:val="008536AC"/>
    <w:rsid w:val="0085581E"/>
    <w:rsid w:val="00855F2F"/>
    <w:rsid w:val="00856DEC"/>
    <w:rsid w:val="008575B7"/>
    <w:rsid w:val="00860211"/>
    <w:rsid w:val="008607AE"/>
    <w:rsid w:val="00860BA0"/>
    <w:rsid w:val="008622AC"/>
    <w:rsid w:val="00862690"/>
    <w:rsid w:val="00862A54"/>
    <w:rsid w:val="00863539"/>
    <w:rsid w:val="00863803"/>
    <w:rsid w:val="0086398D"/>
    <w:rsid w:val="00864A59"/>
    <w:rsid w:val="00866EFD"/>
    <w:rsid w:val="00867785"/>
    <w:rsid w:val="00867C78"/>
    <w:rsid w:val="00867D48"/>
    <w:rsid w:val="008712BE"/>
    <w:rsid w:val="00873B07"/>
    <w:rsid w:val="008748B1"/>
    <w:rsid w:val="00875E8E"/>
    <w:rsid w:val="008762EE"/>
    <w:rsid w:val="00877262"/>
    <w:rsid w:val="008774E4"/>
    <w:rsid w:val="0087761D"/>
    <w:rsid w:val="00877C64"/>
    <w:rsid w:val="00877DBE"/>
    <w:rsid w:val="0088144E"/>
    <w:rsid w:val="00882073"/>
    <w:rsid w:val="00882EB5"/>
    <w:rsid w:val="008830CA"/>
    <w:rsid w:val="00883A0F"/>
    <w:rsid w:val="008841F3"/>
    <w:rsid w:val="00884365"/>
    <w:rsid w:val="00884C81"/>
    <w:rsid w:val="00885729"/>
    <w:rsid w:val="00885933"/>
    <w:rsid w:val="00885D77"/>
    <w:rsid w:val="0088604D"/>
    <w:rsid w:val="00886079"/>
    <w:rsid w:val="00886ED8"/>
    <w:rsid w:val="00887DD7"/>
    <w:rsid w:val="008920E9"/>
    <w:rsid w:val="00892302"/>
    <w:rsid w:val="008933CF"/>
    <w:rsid w:val="008933DD"/>
    <w:rsid w:val="0089392D"/>
    <w:rsid w:val="00893951"/>
    <w:rsid w:val="00893DD9"/>
    <w:rsid w:val="00894FA5"/>
    <w:rsid w:val="008951F9"/>
    <w:rsid w:val="00895365"/>
    <w:rsid w:val="00895B0D"/>
    <w:rsid w:val="008964E9"/>
    <w:rsid w:val="00896C22"/>
    <w:rsid w:val="00897887"/>
    <w:rsid w:val="0089792C"/>
    <w:rsid w:val="008A0287"/>
    <w:rsid w:val="008A0B93"/>
    <w:rsid w:val="008A10BD"/>
    <w:rsid w:val="008A174C"/>
    <w:rsid w:val="008A1BD8"/>
    <w:rsid w:val="008A2308"/>
    <w:rsid w:val="008A3BF1"/>
    <w:rsid w:val="008A5063"/>
    <w:rsid w:val="008A6455"/>
    <w:rsid w:val="008A6FA0"/>
    <w:rsid w:val="008A710B"/>
    <w:rsid w:val="008A7457"/>
    <w:rsid w:val="008A7D60"/>
    <w:rsid w:val="008B164C"/>
    <w:rsid w:val="008B1A7A"/>
    <w:rsid w:val="008B1B16"/>
    <w:rsid w:val="008B270C"/>
    <w:rsid w:val="008B2BA8"/>
    <w:rsid w:val="008B33A1"/>
    <w:rsid w:val="008B37EE"/>
    <w:rsid w:val="008B39D4"/>
    <w:rsid w:val="008B3E96"/>
    <w:rsid w:val="008B48A0"/>
    <w:rsid w:val="008B4B0C"/>
    <w:rsid w:val="008B5B42"/>
    <w:rsid w:val="008B5F7B"/>
    <w:rsid w:val="008B7CC7"/>
    <w:rsid w:val="008C0A49"/>
    <w:rsid w:val="008C13FE"/>
    <w:rsid w:val="008C2553"/>
    <w:rsid w:val="008C34D7"/>
    <w:rsid w:val="008C4403"/>
    <w:rsid w:val="008C4BE1"/>
    <w:rsid w:val="008C5855"/>
    <w:rsid w:val="008C5987"/>
    <w:rsid w:val="008C5A0F"/>
    <w:rsid w:val="008C5C41"/>
    <w:rsid w:val="008C634E"/>
    <w:rsid w:val="008C6368"/>
    <w:rsid w:val="008C6ECE"/>
    <w:rsid w:val="008C7771"/>
    <w:rsid w:val="008D0417"/>
    <w:rsid w:val="008D043F"/>
    <w:rsid w:val="008D05F3"/>
    <w:rsid w:val="008D0C48"/>
    <w:rsid w:val="008D0D21"/>
    <w:rsid w:val="008D22E8"/>
    <w:rsid w:val="008D362C"/>
    <w:rsid w:val="008D3BAC"/>
    <w:rsid w:val="008D4810"/>
    <w:rsid w:val="008D58B1"/>
    <w:rsid w:val="008D6D1B"/>
    <w:rsid w:val="008D6EC5"/>
    <w:rsid w:val="008D7015"/>
    <w:rsid w:val="008D75B7"/>
    <w:rsid w:val="008E03A9"/>
    <w:rsid w:val="008E100D"/>
    <w:rsid w:val="008E1F5B"/>
    <w:rsid w:val="008E263C"/>
    <w:rsid w:val="008E29F2"/>
    <w:rsid w:val="008E3CB7"/>
    <w:rsid w:val="008E3EAD"/>
    <w:rsid w:val="008E4ABB"/>
    <w:rsid w:val="008E6D76"/>
    <w:rsid w:val="008E71B2"/>
    <w:rsid w:val="008E76A3"/>
    <w:rsid w:val="008E7B07"/>
    <w:rsid w:val="008E7D6A"/>
    <w:rsid w:val="008F0066"/>
    <w:rsid w:val="008F1375"/>
    <w:rsid w:val="008F1F73"/>
    <w:rsid w:val="008F23D9"/>
    <w:rsid w:val="008F4009"/>
    <w:rsid w:val="008F46B5"/>
    <w:rsid w:val="008F477E"/>
    <w:rsid w:val="008F4ED9"/>
    <w:rsid w:val="008F4F94"/>
    <w:rsid w:val="008F5807"/>
    <w:rsid w:val="008F6D1A"/>
    <w:rsid w:val="008F6EB0"/>
    <w:rsid w:val="008F739B"/>
    <w:rsid w:val="008F7539"/>
    <w:rsid w:val="00900162"/>
    <w:rsid w:val="00901865"/>
    <w:rsid w:val="00901F19"/>
    <w:rsid w:val="0090262A"/>
    <w:rsid w:val="0090290F"/>
    <w:rsid w:val="00902B72"/>
    <w:rsid w:val="00902EE7"/>
    <w:rsid w:val="0090346D"/>
    <w:rsid w:val="009034CF"/>
    <w:rsid w:val="009037DB"/>
    <w:rsid w:val="0090402B"/>
    <w:rsid w:val="00904ECD"/>
    <w:rsid w:val="009053C3"/>
    <w:rsid w:val="00905662"/>
    <w:rsid w:val="00905BD4"/>
    <w:rsid w:val="00905DE3"/>
    <w:rsid w:val="0090673D"/>
    <w:rsid w:val="00906FE8"/>
    <w:rsid w:val="009124DF"/>
    <w:rsid w:val="00912814"/>
    <w:rsid w:val="00913067"/>
    <w:rsid w:val="00913D0B"/>
    <w:rsid w:val="00913FA4"/>
    <w:rsid w:val="009141B3"/>
    <w:rsid w:val="00914E46"/>
    <w:rsid w:val="00915EAF"/>
    <w:rsid w:val="00917919"/>
    <w:rsid w:val="00921B0E"/>
    <w:rsid w:val="00921B8E"/>
    <w:rsid w:val="00921BEF"/>
    <w:rsid w:val="00923C3D"/>
    <w:rsid w:val="009240BE"/>
    <w:rsid w:val="00924A87"/>
    <w:rsid w:val="00926281"/>
    <w:rsid w:val="00926C16"/>
    <w:rsid w:val="00926F05"/>
    <w:rsid w:val="009275FA"/>
    <w:rsid w:val="00927CA3"/>
    <w:rsid w:val="00927FA1"/>
    <w:rsid w:val="00930FFA"/>
    <w:rsid w:val="00931248"/>
    <w:rsid w:val="00931455"/>
    <w:rsid w:val="009314D2"/>
    <w:rsid w:val="00931A90"/>
    <w:rsid w:val="00931CDC"/>
    <w:rsid w:val="009323CB"/>
    <w:rsid w:val="00932602"/>
    <w:rsid w:val="00933266"/>
    <w:rsid w:val="009338AF"/>
    <w:rsid w:val="00934AC0"/>
    <w:rsid w:val="00934F13"/>
    <w:rsid w:val="00935273"/>
    <w:rsid w:val="00935C80"/>
    <w:rsid w:val="009365F1"/>
    <w:rsid w:val="00936656"/>
    <w:rsid w:val="00940BAC"/>
    <w:rsid w:val="009415AF"/>
    <w:rsid w:val="00941B08"/>
    <w:rsid w:val="009423C7"/>
    <w:rsid w:val="00942688"/>
    <w:rsid w:val="00942735"/>
    <w:rsid w:val="00942B28"/>
    <w:rsid w:val="00943927"/>
    <w:rsid w:val="0094529A"/>
    <w:rsid w:val="009479AA"/>
    <w:rsid w:val="00947BF9"/>
    <w:rsid w:val="00951406"/>
    <w:rsid w:val="00951A19"/>
    <w:rsid w:val="00951DF1"/>
    <w:rsid w:val="00951F3A"/>
    <w:rsid w:val="00952079"/>
    <w:rsid w:val="009526CD"/>
    <w:rsid w:val="00953C5E"/>
    <w:rsid w:val="009547C1"/>
    <w:rsid w:val="009552EC"/>
    <w:rsid w:val="0095556B"/>
    <w:rsid w:val="00955747"/>
    <w:rsid w:val="00955C37"/>
    <w:rsid w:val="009577B2"/>
    <w:rsid w:val="00961693"/>
    <w:rsid w:val="009616A8"/>
    <w:rsid w:val="009632E5"/>
    <w:rsid w:val="00963D51"/>
    <w:rsid w:val="00963E0B"/>
    <w:rsid w:val="009642B9"/>
    <w:rsid w:val="009650E4"/>
    <w:rsid w:val="00965665"/>
    <w:rsid w:val="009658BA"/>
    <w:rsid w:val="00965D2F"/>
    <w:rsid w:val="009661CA"/>
    <w:rsid w:val="00966E44"/>
    <w:rsid w:val="00967031"/>
    <w:rsid w:val="0096791A"/>
    <w:rsid w:val="00970129"/>
    <w:rsid w:val="00971FCD"/>
    <w:rsid w:val="009725E3"/>
    <w:rsid w:val="00972D32"/>
    <w:rsid w:val="00973421"/>
    <w:rsid w:val="00973E33"/>
    <w:rsid w:val="00974BD1"/>
    <w:rsid w:val="00976968"/>
    <w:rsid w:val="00976C4F"/>
    <w:rsid w:val="00976ECA"/>
    <w:rsid w:val="00976EF1"/>
    <w:rsid w:val="00977D5D"/>
    <w:rsid w:val="00980F9E"/>
    <w:rsid w:val="00982E86"/>
    <w:rsid w:val="00983626"/>
    <w:rsid w:val="00983926"/>
    <w:rsid w:val="00985055"/>
    <w:rsid w:val="00985159"/>
    <w:rsid w:val="00986010"/>
    <w:rsid w:val="009861F7"/>
    <w:rsid w:val="00987EDC"/>
    <w:rsid w:val="00990154"/>
    <w:rsid w:val="00990466"/>
    <w:rsid w:val="00990617"/>
    <w:rsid w:val="009918F8"/>
    <w:rsid w:val="009922BC"/>
    <w:rsid w:val="00992E81"/>
    <w:rsid w:val="0099332D"/>
    <w:rsid w:val="0099432A"/>
    <w:rsid w:val="009948A9"/>
    <w:rsid w:val="00994DE6"/>
    <w:rsid w:val="0099670C"/>
    <w:rsid w:val="009969EB"/>
    <w:rsid w:val="00997C53"/>
    <w:rsid w:val="009A0AA4"/>
    <w:rsid w:val="009A13A7"/>
    <w:rsid w:val="009A2C03"/>
    <w:rsid w:val="009A2D82"/>
    <w:rsid w:val="009A3A96"/>
    <w:rsid w:val="009A40B1"/>
    <w:rsid w:val="009A4820"/>
    <w:rsid w:val="009A51D7"/>
    <w:rsid w:val="009A53F1"/>
    <w:rsid w:val="009A60D5"/>
    <w:rsid w:val="009A641E"/>
    <w:rsid w:val="009A64D4"/>
    <w:rsid w:val="009A685B"/>
    <w:rsid w:val="009A6A5B"/>
    <w:rsid w:val="009A6E50"/>
    <w:rsid w:val="009A6F0C"/>
    <w:rsid w:val="009B01E1"/>
    <w:rsid w:val="009B08EE"/>
    <w:rsid w:val="009B0C21"/>
    <w:rsid w:val="009B0C51"/>
    <w:rsid w:val="009B0F92"/>
    <w:rsid w:val="009B0FD4"/>
    <w:rsid w:val="009B127F"/>
    <w:rsid w:val="009B1EDC"/>
    <w:rsid w:val="009B23B2"/>
    <w:rsid w:val="009B24A4"/>
    <w:rsid w:val="009B2B98"/>
    <w:rsid w:val="009B308D"/>
    <w:rsid w:val="009B31D7"/>
    <w:rsid w:val="009B3677"/>
    <w:rsid w:val="009B3962"/>
    <w:rsid w:val="009B3A46"/>
    <w:rsid w:val="009B42A2"/>
    <w:rsid w:val="009B462B"/>
    <w:rsid w:val="009B4B02"/>
    <w:rsid w:val="009B52F4"/>
    <w:rsid w:val="009B541C"/>
    <w:rsid w:val="009B548A"/>
    <w:rsid w:val="009B6D82"/>
    <w:rsid w:val="009C09A0"/>
    <w:rsid w:val="009C0B61"/>
    <w:rsid w:val="009C0DF2"/>
    <w:rsid w:val="009C0FDB"/>
    <w:rsid w:val="009C1876"/>
    <w:rsid w:val="009C1EDF"/>
    <w:rsid w:val="009C2E52"/>
    <w:rsid w:val="009C2F25"/>
    <w:rsid w:val="009C3CA9"/>
    <w:rsid w:val="009C4210"/>
    <w:rsid w:val="009C42DD"/>
    <w:rsid w:val="009C4CFF"/>
    <w:rsid w:val="009C5165"/>
    <w:rsid w:val="009C524A"/>
    <w:rsid w:val="009C560C"/>
    <w:rsid w:val="009C5692"/>
    <w:rsid w:val="009C5971"/>
    <w:rsid w:val="009C67C3"/>
    <w:rsid w:val="009C6BBB"/>
    <w:rsid w:val="009C6E84"/>
    <w:rsid w:val="009D03EE"/>
    <w:rsid w:val="009D0551"/>
    <w:rsid w:val="009D0BEC"/>
    <w:rsid w:val="009D0EF2"/>
    <w:rsid w:val="009D1151"/>
    <w:rsid w:val="009D3B4F"/>
    <w:rsid w:val="009D3F98"/>
    <w:rsid w:val="009D49E1"/>
    <w:rsid w:val="009D5557"/>
    <w:rsid w:val="009D660F"/>
    <w:rsid w:val="009D690E"/>
    <w:rsid w:val="009D6BC2"/>
    <w:rsid w:val="009E12C6"/>
    <w:rsid w:val="009E1703"/>
    <w:rsid w:val="009E17B4"/>
    <w:rsid w:val="009E18CA"/>
    <w:rsid w:val="009E1E1D"/>
    <w:rsid w:val="009E248B"/>
    <w:rsid w:val="009E2604"/>
    <w:rsid w:val="009E2D18"/>
    <w:rsid w:val="009E3B91"/>
    <w:rsid w:val="009E44E2"/>
    <w:rsid w:val="009E48A3"/>
    <w:rsid w:val="009E4BA4"/>
    <w:rsid w:val="009E4C37"/>
    <w:rsid w:val="009E5950"/>
    <w:rsid w:val="009E605A"/>
    <w:rsid w:val="009E70F6"/>
    <w:rsid w:val="009E734D"/>
    <w:rsid w:val="009E7BFA"/>
    <w:rsid w:val="009F0052"/>
    <w:rsid w:val="009F0364"/>
    <w:rsid w:val="009F0DA4"/>
    <w:rsid w:val="009F0E95"/>
    <w:rsid w:val="009F2134"/>
    <w:rsid w:val="009F29D3"/>
    <w:rsid w:val="009F2D02"/>
    <w:rsid w:val="009F3B99"/>
    <w:rsid w:val="009F499B"/>
    <w:rsid w:val="009F5157"/>
    <w:rsid w:val="009F6671"/>
    <w:rsid w:val="009F6D2A"/>
    <w:rsid w:val="009F7459"/>
    <w:rsid w:val="009F7D11"/>
    <w:rsid w:val="00A01AE0"/>
    <w:rsid w:val="00A01BC3"/>
    <w:rsid w:val="00A02DFB"/>
    <w:rsid w:val="00A033BE"/>
    <w:rsid w:val="00A036B7"/>
    <w:rsid w:val="00A038B7"/>
    <w:rsid w:val="00A039E7"/>
    <w:rsid w:val="00A045D4"/>
    <w:rsid w:val="00A0554A"/>
    <w:rsid w:val="00A05AC3"/>
    <w:rsid w:val="00A0724A"/>
    <w:rsid w:val="00A07365"/>
    <w:rsid w:val="00A07DB3"/>
    <w:rsid w:val="00A100C7"/>
    <w:rsid w:val="00A10576"/>
    <w:rsid w:val="00A10729"/>
    <w:rsid w:val="00A10772"/>
    <w:rsid w:val="00A10B52"/>
    <w:rsid w:val="00A10D8D"/>
    <w:rsid w:val="00A10DBF"/>
    <w:rsid w:val="00A1221C"/>
    <w:rsid w:val="00A12F11"/>
    <w:rsid w:val="00A135E6"/>
    <w:rsid w:val="00A13C58"/>
    <w:rsid w:val="00A14B99"/>
    <w:rsid w:val="00A156B9"/>
    <w:rsid w:val="00A167EC"/>
    <w:rsid w:val="00A16A3A"/>
    <w:rsid w:val="00A1723D"/>
    <w:rsid w:val="00A17526"/>
    <w:rsid w:val="00A17D80"/>
    <w:rsid w:val="00A20315"/>
    <w:rsid w:val="00A2104A"/>
    <w:rsid w:val="00A215BF"/>
    <w:rsid w:val="00A21736"/>
    <w:rsid w:val="00A24685"/>
    <w:rsid w:val="00A24F43"/>
    <w:rsid w:val="00A24FD8"/>
    <w:rsid w:val="00A253FD"/>
    <w:rsid w:val="00A25DAE"/>
    <w:rsid w:val="00A25FBD"/>
    <w:rsid w:val="00A26B3E"/>
    <w:rsid w:val="00A27062"/>
    <w:rsid w:val="00A27064"/>
    <w:rsid w:val="00A272EF"/>
    <w:rsid w:val="00A27355"/>
    <w:rsid w:val="00A27B5D"/>
    <w:rsid w:val="00A303A4"/>
    <w:rsid w:val="00A31356"/>
    <w:rsid w:val="00A313A8"/>
    <w:rsid w:val="00A316D4"/>
    <w:rsid w:val="00A31F7A"/>
    <w:rsid w:val="00A3241C"/>
    <w:rsid w:val="00A32779"/>
    <w:rsid w:val="00A327A8"/>
    <w:rsid w:val="00A3342D"/>
    <w:rsid w:val="00A34601"/>
    <w:rsid w:val="00A35AD3"/>
    <w:rsid w:val="00A3608E"/>
    <w:rsid w:val="00A36474"/>
    <w:rsid w:val="00A36CD7"/>
    <w:rsid w:val="00A36E8B"/>
    <w:rsid w:val="00A37532"/>
    <w:rsid w:val="00A37732"/>
    <w:rsid w:val="00A37FA4"/>
    <w:rsid w:val="00A418C2"/>
    <w:rsid w:val="00A42840"/>
    <w:rsid w:val="00A42984"/>
    <w:rsid w:val="00A43205"/>
    <w:rsid w:val="00A43903"/>
    <w:rsid w:val="00A43D51"/>
    <w:rsid w:val="00A44624"/>
    <w:rsid w:val="00A44A5F"/>
    <w:rsid w:val="00A46386"/>
    <w:rsid w:val="00A47845"/>
    <w:rsid w:val="00A507C6"/>
    <w:rsid w:val="00A5244E"/>
    <w:rsid w:val="00A5305F"/>
    <w:rsid w:val="00A5346A"/>
    <w:rsid w:val="00A53724"/>
    <w:rsid w:val="00A545FA"/>
    <w:rsid w:val="00A5513E"/>
    <w:rsid w:val="00A55243"/>
    <w:rsid w:val="00A55BD7"/>
    <w:rsid w:val="00A569F0"/>
    <w:rsid w:val="00A603B8"/>
    <w:rsid w:val="00A6041C"/>
    <w:rsid w:val="00A61076"/>
    <w:rsid w:val="00A6177C"/>
    <w:rsid w:val="00A61A6A"/>
    <w:rsid w:val="00A63957"/>
    <w:rsid w:val="00A649E2"/>
    <w:rsid w:val="00A64ECB"/>
    <w:rsid w:val="00A65003"/>
    <w:rsid w:val="00A6521C"/>
    <w:rsid w:val="00A65274"/>
    <w:rsid w:val="00A6562E"/>
    <w:rsid w:val="00A6567E"/>
    <w:rsid w:val="00A6599B"/>
    <w:rsid w:val="00A659D3"/>
    <w:rsid w:val="00A66DE5"/>
    <w:rsid w:val="00A676CD"/>
    <w:rsid w:val="00A67AD4"/>
    <w:rsid w:val="00A7002F"/>
    <w:rsid w:val="00A70DC0"/>
    <w:rsid w:val="00A7111C"/>
    <w:rsid w:val="00A720F7"/>
    <w:rsid w:val="00A7248D"/>
    <w:rsid w:val="00A727AF"/>
    <w:rsid w:val="00A72992"/>
    <w:rsid w:val="00A72C0D"/>
    <w:rsid w:val="00A734A1"/>
    <w:rsid w:val="00A7353B"/>
    <w:rsid w:val="00A73E0B"/>
    <w:rsid w:val="00A74032"/>
    <w:rsid w:val="00A742C3"/>
    <w:rsid w:val="00A7451F"/>
    <w:rsid w:val="00A74749"/>
    <w:rsid w:val="00A75673"/>
    <w:rsid w:val="00A759B2"/>
    <w:rsid w:val="00A76F36"/>
    <w:rsid w:val="00A76F44"/>
    <w:rsid w:val="00A7703F"/>
    <w:rsid w:val="00A7716E"/>
    <w:rsid w:val="00A771DB"/>
    <w:rsid w:val="00A77587"/>
    <w:rsid w:val="00A77DDD"/>
    <w:rsid w:val="00A80F5F"/>
    <w:rsid w:val="00A81230"/>
    <w:rsid w:val="00A819B9"/>
    <w:rsid w:val="00A81A11"/>
    <w:rsid w:val="00A82B07"/>
    <w:rsid w:val="00A82C39"/>
    <w:rsid w:val="00A846CD"/>
    <w:rsid w:val="00A85047"/>
    <w:rsid w:val="00A85724"/>
    <w:rsid w:val="00A859D3"/>
    <w:rsid w:val="00A85DBB"/>
    <w:rsid w:val="00A862D0"/>
    <w:rsid w:val="00A86CD2"/>
    <w:rsid w:val="00A9037D"/>
    <w:rsid w:val="00A91162"/>
    <w:rsid w:val="00A9160C"/>
    <w:rsid w:val="00A92132"/>
    <w:rsid w:val="00A92B3E"/>
    <w:rsid w:val="00A930E6"/>
    <w:rsid w:val="00A9385D"/>
    <w:rsid w:val="00A93AD8"/>
    <w:rsid w:val="00A9426C"/>
    <w:rsid w:val="00A94B0F"/>
    <w:rsid w:val="00A959B9"/>
    <w:rsid w:val="00A95AF7"/>
    <w:rsid w:val="00A966AA"/>
    <w:rsid w:val="00A96DEB"/>
    <w:rsid w:val="00A97906"/>
    <w:rsid w:val="00A97AE2"/>
    <w:rsid w:val="00A97ECD"/>
    <w:rsid w:val="00AA0564"/>
    <w:rsid w:val="00AA146E"/>
    <w:rsid w:val="00AA2188"/>
    <w:rsid w:val="00AA233F"/>
    <w:rsid w:val="00AA236D"/>
    <w:rsid w:val="00AA2D74"/>
    <w:rsid w:val="00AA3424"/>
    <w:rsid w:val="00AA34DA"/>
    <w:rsid w:val="00AA391B"/>
    <w:rsid w:val="00AA39B6"/>
    <w:rsid w:val="00AA40EF"/>
    <w:rsid w:val="00AA4100"/>
    <w:rsid w:val="00AA57CE"/>
    <w:rsid w:val="00AA5A84"/>
    <w:rsid w:val="00AA67C4"/>
    <w:rsid w:val="00AA7C48"/>
    <w:rsid w:val="00AB0512"/>
    <w:rsid w:val="00AB0E70"/>
    <w:rsid w:val="00AB0F95"/>
    <w:rsid w:val="00AB194F"/>
    <w:rsid w:val="00AB2D5F"/>
    <w:rsid w:val="00AB30B8"/>
    <w:rsid w:val="00AB31E7"/>
    <w:rsid w:val="00AB37B5"/>
    <w:rsid w:val="00AB4260"/>
    <w:rsid w:val="00AB428E"/>
    <w:rsid w:val="00AB4C53"/>
    <w:rsid w:val="00AB5264"/>
    <w:rsid w:val="00AB5828"/>
    <w:rsid w:val="00AB638A"/>
    <w:rsid w:val="00AB68BA"/>
    <w:rsid w:val="00AC0158"/>
    <w:rsid w:val="00AC07CE"/>
    <w:rsid w:val="00AC081F"/>
    <w:rsid w:val="00AC0E93"/>
    <w:rsid w:val="00AC14A7"/>
    <w:rsid w:val="00AC1C16"/>
    <w:rsid w:val="00AC21E1"/>
    <w:rsid w:val="00AC3644"/>
    <w:rsid w:val="00AC39C0"/>
    <w:rsid w:val="00AC4C02"/>
    <w:rsid w:val="00AC4E66"/>
    <w:rsid w:val="00AC4F00"/>
    <w:rsid w:val="00AC4F0F"/>
    <w:rsid w:val="00AC52AC"/>
    <w:rsid w:val="00AC5B7F"/>
    <w:rsid w:val="00AC5CEB"/>
    <w:rsid w:val="00AC76F3"/>
    <w:rsid w:val="00AC7FA3"/>
    <w:rsid w:val="00AD0E3A"/>
    <w:rsid w:val="00AD0EE4"/>
    <w:rsid w:val="00AD10F1"/>
    <w:rsid w:val="00AD1164"/>
    <w:rsid w:val="00AD20EF"/>
    <w:rsid w:val="00AD397C"/>
    <w:rsid w:val="00AD3BDC"/>
    <w:rsid w:val="00AD46C3"/>
    <w:rsid w:val="00AD5601"/>
    <w:rsid w:val="00AD5D76"/>
    <w:rsid w:val="00AD5EAA"/>
    <w:rsid w:val="00AD5EAB"/>
    <w:rsid w:val="00AD7862"/>
    <w:rsid w:val="00AE0105"/>
    <w:rsid w:val="00AE0803"/>
    <w:rsid w:val="00AE0898"/>
    <w:rsid w:val="00AE0AE6"/>
    <w:rsid w:val="00AE1302"/>
    <w:rsid w:val="00AE1EEA"/>
    <w:rsid w:val="00AE240F"/>
    <w:rsid w:val="00AE435E"/>
    <w:rsid w:val="00AE4945"/>
    <w:rsid w:val="00AE5495"/>
    <w:rsid w:val="00AE584E"/>
    <w:rsid w:val="00AE69A4"/>
    <w:rsid w:val="00AE6F0B"/>
    <w:rsid w:val="00AE72DB"/>
    <w:rsid w:val="00AE7FA2"/>
    <w:rsid w:val="00AF00A3"/>
    <w:rsid w:val="00AF02CA"/>
    <w:rsid w:val="00AF1A1A"/>
    <w:rsid w:val="00AF2005"/>
    <w:rsid w:val="00AF2A5A"/>
    <w:rsid w:val="00AF2D6D"/>
    <w:rsid w:val="00AF41EC"/>
    <w:rsid w:val="00AF42DD"/>
    <w:rsid w:val="00AF56D0"/>
    <w:rsid w:val="00AF5DF9"/>
    <w:rsid w:val="00AF5FC6"/>
    <w:rsid w:val="00AF6C04"/>
    <w:rsid w:val="00AF6C9D"/>
    <w:rsid w:val="00AF7EC1"/>
    <w:rsid w:val="00B00410"/>
    <w:rsid w:val="00B005B2"/>
    <w:rsid w:val="00B00FA4"/>
    <w:rsid w:val="00B0163A"/>
    <w:rsid w:val="00B03DE8"/>
    <w:rsid w:val="00B03FBF"/>
    <w:rsid w:val="00B042B6"/>
    <w:rsid w:val="00B045AA"/>
    <w:rsid w:val="00B04A93"/>
    <w:rsid w:val="00B06033"/>
    <w:rsid w:val="00B0682B"/>
    <w:rsid w:val="00B06AEC"/>
    <w:rsid w:val="00B06B13"/>
    <w:rsid w:val="00B06E61"/>
    <w:rsid w:val="00B07315"/>
    <w:rsid w:val="00B07A2D"/>
    <w:rsid w:val="00B07ADA"/>
    <w:rsid w:val="00B10338"/>
    <w:rsid w:val="00B10468"/>
    <w:rsid w:val="00B129A4"/>
    <w:rsid w:val="00B132A4"/>
    <w:rsid w:val="00B134B4"/>
    <w:rsid w:val="00B140E0"/>
    <w:rsid w:val="00B1522F"/>
    <w:rsid w:val="00B1619F"/>
    <w:rsid w:val="00B16EF3"/>
    <w:rsid w:val="00B1715D"/>
    <w:rsid w:val="00B1718F"/>
    <w:rsid w:val="00B172A2"/>
    <w:rsid w:val="00B2001D"/>
    <w:rsid w:val="00B203F3"/>
    <w:rsid w:val="00B20920"/>
    <w:rsid w:val="00B218AA"/>
    <w:rsid w:val="00B2252F"/>
    <w:rsid w:val="00B22964"/>
    <w:rsid w:val="00B232FF"/>
    <w:rsid w:val="00B23C72"/>
    <w:rsid w:val="00B24366"/>
    <w:rsid w:val="00B24D23"/>
    <w:rsid w:val="00B25153"/>
    <w:rsid w:val="00B25511"/>
    <w:rsid w:val="00B2578F"/>
    <w:rsid w:val="00B25D02"/>
    <w:rsid w:val="00B26085"/>
    <w:rsid w:val="00B2663A"/>
    <w:rsid w:val="00B26ECF"/>
    <w:rsid w:val="00B27410"/>
    <w:rsid w:val="00B3070A"/>
    <w:rsid w:val="00B317E5"/>
    <w:rsid w:val="00B32325"/>
    <w:rsid w:val="00B32EAC"/>
    <w:rsid w:val="00B3307A"/>
    <w:rsid w:val="00B334DB"/>
    <w:rsid w:val="00B34260"/>
    <w:rsid w:val="00B342CB"/>
    <w:rsid w:val="00B34862"/>
    <w:rsid w:val="00B34E07"/>
    <w:rsid w:val="00B34FFA"/>
    <w:rsid w:val="00B354AD"/>
    <w:rsid w:val="00B35D14"/>
    <w:rsid w:val="00B36365"/>
    <w:rsid w:val="00B36B91"/>
    <w:rsid w:val="00B36C93"/>
    <w:rsid w:val="00B37BEB"/>
    <w:rsid w:val="00B4028D"/>
    <w:rsid w:val="00B40674"/>
    <w:rsid w:val="00B40726"/>
    <w:rsid w:val="00B40F81"/>
    <w:rsid w:val="00B411D0"/>
    <w:rsid w:val="00B41218"/>
    <w:rsid w:val="00B41817"/>
    <w:rsid w:val="00B41EFF"/>
    <w:rsid w:val="00B4200D"/>
    <w:rsid w:val="00B421B7"/>
    <w:rsid w:val="00B42B3E"/>
    <w:rsid w:val="00B43D02"/>
    <w:rsid w:val="00B43F80"/>
    <w:rsid w:val="00B43FBF"/>
    <w:rsid w:val="00B4438E"/>
    <w:rsid w:val="00B444B5"/>
    <w:rsid w:val="00B452EB"/>
    <w:rsid w:val="00B46494"/>
    <w:rsid w:val="00B4667F"/>
    <w:rsid w:val="00B4674B"/>
    <w:rsid w:val="00B468FE"/>
    <w:rsid w:val="00B501AF"/>
    <w:rsid w:val="00B5081E"/>
    <w:rsid w:val="00B52280"/>
    <w:rsid w:val="00B52806"/>
    <w:rsid w:val="00B5313F"/>
    <w:rsid w:val="00B53C4F"/>
    <w:rsid w:val="00B53EEF"/>
    <w:rsid w:val="00B541EA"/>
    <w:rsid w:val="00B5617F"/>
    <w:rsid w:val="00B60156"/>
    <w:rsid w:val="00B60AEE"/>
    <w:rsid w:val="00B60D6E"/>
    <w:rsid w:val="00B61362"/>
    <w:rsid w:val="00B615AD"/>
    <w:rsid w:val="00B616F9"/>
    <w:rsid w:val="00B617C0"/>
    <w:rsid w:val="00B61C15"/>
    <w:rsid w:val="00B61CDF"/>
    <w:rsid w:val="00B61D4D"/>
    <w:rsid w:val="00B61F72"/>
    <w:rsid w:val="00B62892"/>
    <w:rsid w:val="00B62AD2"/>
    <w:rsid w:val="00B62AEB"/>
    <w:rsid w:val="00B633C5"/>
    <w:rsid w:val="00B64C03"/>
    <w:rsid w:val="00B64F22"/>
    <w:rsid w:val="00B65033"/>
    <w:rsid w:val="00B65B64"/>
    <w:rsid w:val="00B65BDB"/>
    <w:rsid w:val="00B6698E"/>
    <w:rsid w:val="00B67261"/>
    <w:rsid w:val="00B67B01"/>
    <w:rsid w:val="00B70CB1"/>
    <w:rsid w:val="00B711A6"/>
    <w:rsid w:val="00B71328"/>
    <w:rsid w:val="00B716B8"/>
    <w:rsid w:val="00B717B6"/>
    <w:rsid w:val="00B7193C"/>
    <w:rsid w:val="00B72881"/>
    <w:rsid w:val="00B72DF3"/>
    <w:rsid w:val="00B7398D"/>
    <w:rsid w:val="00B73DC3"/>
    <w:rsid w:val="00B73ED8"/>
    <w:rsid w:val="00B74684"/>
    <w:rsid w:val="00B74717"/>
    <w:rsid w:val="00B747FA"/>
    <w:rsid w:val="00B763AC"/>
    <w:rsid w:val="00B7649E"/>
    <w:rsid w:val="00B7669A"/>
    <w:rsid w:val="00B7765A"/>
    <w:rsid w:val="00B77EEA"/>
    <w:rsid w:val="00B818AB"/>
    <w:rsid w:val="00B83731"/>
    <w:rsid w:val="00B83C7F"/>
    <w:rsid w:val="00B85110"/>
    <w:rsid w:val="00B85C80"/>
    <w:rsid w:val="00B87073"/>
    <w:rsid w:val="00B87197"/>
    <w:rsid w:val="00B8781D"/>
    <w:rsid w:val="00B90533"/>
    <w:rsid w:val="00B906A5"/>
    <w:rsid w:val="00B91526"/>
    <w:rsid w:val="00B915AD"/>
    <w:rsid w:val="00B91B10"/>
    <w:rsid w:val="00B91BCE"/>
    <w:rsid w:val="00B925D5"/>
    <w:rsid w:val="00B9265A"/>
    <w:rsid w:val="00B9270B"/>
    <w:rsid w:val="00B92E6F"/>
    <w:rsid w:val="00B930C7"/>
    <w:rsid w:val="00B93DF2"/>
    <w:rsid w:val="00B946E5"/>
    <w:rsid w:val="00B94AB2"/>
    <w:rsid w:val="00B95457"/>
    <w:rsid w:val="00B95D0A"/>
    <w:rsid w:val="00B9644C"/>
    <w:rsid w:val="00B96692"/>
    <w:rsid w:val="00B97311"/>
    <w:rsid w:val="00B976D2"/>
    <w:rsid w:val="00BA066E"/>
    <w:rsid w:val="00BA22CF"/>
    <w:rsid w:val="00BA2569"/>
    <w:rsid w:val="00BA2E0B"/>
    <w:rsid w:val="00BA4614"/>
    <w:rsid w:val="00BA5B92"/>
    <w:rsid w:val="00BB07F5"/>
    <w:rsid w:val="00BB0887"/>
    <w:rsid w:val="00BB0910"/>
    <w:rsid w:val="00BB092F"/>
    <w:rsid w:val="00BB099E"/>
    <w:rsid w:val="00BB118B"/>
    <w:rsid w:val="00BB33D8"/>
    <w:rsid w:val="00BB3696"/>
    <w:rsid w:val="00BB437B"/>
    <w:rsid w:val="00BB4416"/>
    <w:rsid w:val="00BB4CEB"/>
    <w:rsid w:val="00BB54ED"/>
    <w:rsid w:val="00BB61A6"/>
    <w:rsid w:val="00BB687D"/>
    <w:rsid w:val="00BB77B3"/>
    <w:rsid w:val="00BC080F"/>
    <w:rsid w:val="00BC1259"/>
    <w:rsid w:val="00BC13C8"/>
    <w:rsid w:val="00BC19BE"/>
    <w:rsid w:val="00BC1FDF"/>
    <w:rsid w:val="00BC2361"/>
    <w:rsid w:val="00BC26F5"/>
    <w:rsid w:val="00BC2D2F"/>
    <w:rsid w:val="00BC33D5"/>
    <w:rsid w:val="00BC3B19"/>
    <w:rsid w:val="00BC3F02"/>
    <w:rsid w:val="00BC43D9"/>
    <w:rsid w:val="00BC6AFE"/>
    <w:rsid w:val="00BC77E8"/>
    <w:rsid w:val="00BC7BF0"/>
    <w:rsid w:val="00BD0091"/>
    <w:rsid w:val="00BD0D8E"/>
    <w:rsid w:val="00BD3717"/>
    <w:rsid w:val="00BD44B7"/>
    <w:rsid w:val="00BD47E3"/>
    <w:rsid w:val="00BD525A"/>
    <w:rsid w:val="00BD5A1A"/>
    <w:rsid w:val="00BD5E63"/>
    <w:rsid w:val="00BD760E"/>
    <w:rsid w:val="00BD7679"/>
    <w:rsid w:val="00BD7E2F"/>
    <w:rsid w:val="00BE0215"/>
    <w:rsid w:val="00BE04B1"/>
    <w:rsid w:val="00BE1914"/>
    <w:rsid w:val="00BE1B5D"/>
    <w:rsid w:val="00BE204F"/>
    <w:rsid w:val="00BE2489"/>
    <w:rsid w:val="00BE261A"/>
    <w:rsid w:val="00BE2A03"/>
    <w:rsid w:val="00BE3B8F"/>
    <w:rsid w:val="00BE416D"/>
    <w:rsid w:val="00BE6DF7"/>
    <w:rsid w:val="00BE73E2"/>
    <w:rsid w:val="00BE7873"/>
    <w:rsid w:val="00BE7A26"/>
    <w:rsid w:val="00BE7BF6"/>
    <w:rsid w:val="00BE7FF3"/>
    <w:rsid w:val="00BF05E0"/>
    <w:rsid w:val="00BF0B2F"/>
    <w:rsid w:val="00BF2A6B"/>
    <w:rsid w:val="00BF3044"/>
    <w:rsid w:val="00BF4A9C"/>
    <w:rsid w:val="00BF5CE8"/>
    <w:rsid w:val="00BF7575"/>
    <w:rsid w:val="00BF79EF"/>
    <w:rsid w:val="00C00D67"/>
    <w:rsid w:val="00C00D6B"/>
    <w:rsid w:val="00C013F2"/>
    <w:rsid w:val="00C014CA"/>
    <w:rsid w:val="00C019FA"/>
    <w:rsid w:val="00C01DD8"/>
    <w:rsid w:val="00C02F1F"/>
    <w:rsid w:val="00C030B5"/>
    <w:rsid w:val="00C030EC"/>
    <w:rsid w:val="00C036CC"/>
    <w:rsid w:val="00C0481F"/>
    <w:rsid w:val="00C04E3C"/>
    <w:rsid w:val="00C04F6F"/>
    <w:rsid w:val="00C05145"/>
    <w:rsid w:val="00C05D9F"/>
    <w:rsid w:val="00C0616D"/>
    <w:rsid w:val="00C06395"/>
    <w:rsid w:val="00C06AB4"/>
    <w:rsid w:val="00C06EB3"/>
    <w:rsid w:val="00C07C32"/>
    <w:rsid w:val="00C11775"/>
    <w:rsid w:val="00C12ECE"/>
    <w:rsid w:val="00C134CD"/>
    <w:rsid w:val="00C13F77"/>
    <w:rsid w:val="00C142D7"/>
    <w:rsid w:val="00C15223"/>
    <w:rsid w:val="00C1676E"/>
    <w:rsid w:val="00C16EC1"/>
    <w:rsid w:val="00C17D98"/>
    <w:rsid w:val="00C17FAC"/>
    <w:rsid w:val="00C202D0"/>
    <w:rsid w:val="00C2033C"/>
    <w:rsid w:val="00C23D62"/>
    <w:rsid w:val="00C2436D"/>
    <w:rsid w:val="00C24CC0"/>
    <w:rsid w:val="00C26027"/>
    <w:rsid w:val="00C26664"/>
    <w:rsid w:val="00C2680C"/>
    <w:rsid w:val="00C26983"/>
    <w:rsid w:val="00C27153"/>
    <w:rsid w:val="00C272F1"/>
    <w:rsid w:val="00C27580"/>
    <w:rsid w:val="00C27622"/>
    <w:rsid w:val="00C27B28"/>
    <w:rsid w:val="00C27B8A"/>
    <w:rsid w:val="00C30387"/>
    <w:rsid w:val="00C31912"/>
    <w:rsid w:val="00C334F5"/>
    <w:rsid w:val="00C3379A"/>
    <w:rsid w:val="00C33856"/>
    <w:rsid w:val="00C33C29"/>
    <w:rsid w:val="00C33F75"/>
    <w:rsid w:val="00C34949"/>
    <w:rsid w:val="00C34F6D"/>
    <w:rsid w:val="00C375CD"/>
    <w:rsid w:val="00C37C1B"/>
    <w:rsid w:val="00C404CA"/>
    <w:rsid w:val="00C40535"/>
    <w:rsid w:val="00C414A5"/>
    <w:rsid w:val="00C41527"/>
    <w:rsid w:val="00C4175D"/>
    <w:rsid w:val="00C41C0C"/>
    <w:rsid w:val="00C41E0E"/>
    <w:rsid w:val="00C42000"/>
    <w:rsid w:val="00C425F8"/>
    <w:rsid w:val="00C43081"/>
    <w:rsid w:val="00C43B94"/>
    <w:rsid w:val="00C44B91"/>
    <w:rsid w:val="00C44C9A"/>
    <w:rsid w:val="00C45276"/>
    <w:rsid w:val="00C459C3"/>
    <w:rsid w:val="00C45E0C"/>
    <w:rsid w:val="00C467A8"/>
    <w:rsid w:val="00C4696A"/>
    <w:rsid w:val="00C472DF"/>
    <w:rsid w:val="00C475F0"/>
    <w:rsid w:val="00C47821"/>
    <w:rsid w:val="00C50741"/>
    <w:rsid w:val="00C50E86"/>
    <w:rsid w:val="00C50F92"/>
    <w:rsid w:val="00C515FE"/>
    <w:rsid w:val="00C53676"/>
    <w:rsid w:val="00C54E4B"/>
    <w:rsid w:val="00C55344"/>
    <w:rsid w:val="00C5543D"/>
    <w:rsid w:val="00C554C0"/>
    <w:rsid w:val="00C55EB2"/>
    <w:rsid w:val="00C568BE"/>
    <w:rsid w:val="00C569A6"/>
    <w:rsid w:val="00C5704E"/>
    <w:rsid w:val="00C575B1"/>
    <w:rsid w:val="00C57684"/>
    <w:rsid w:val="00C57737"/>
    <w:rsid w:val="00C57F0D"/>
    <w:rsid w:val="00C60A0F"/>
    <w:rsid w:val="00C60AA6"/>
    <w:rsid w:val="00C60E0F"/>
    <w:rsid w:val="00C61B86"/>
    <w:rsid w:val="00C6329D"/>
    <w:rsid w:val="00C632C6"/>
    <w:rsid w:val="00C6413B"/>
    <w:rsid w:val="00C64510"/>
    <w:rsid w:val="00C64674"/>
    <w:rsid w:val="00C64696"/>
    <w:rsid w:val="00C65868"/>
    <w:rsid w:val="00C65A08"/>
    <w:rsid w:val="00C65F31"/>
    <w:rsid w:val="00C66394"/>
    <w:rsid w:val="00C67162"/>
    <w:rsid w:val="00C6785F"/>
    <w:rsid w:val="00C704B1"/>
    <w:rsid w:val="00C7102E"/>
    <w:rsid w:val="00C7153D"/>
    <w:rsid w:val="00C71583"/>
    <w:rsid w:val="00C71CAD"/>
    <w:rsid w:val="00C71FF3"/>
    <w:rsid w:val="00C72A5C"/>
    <w:rsid w:val="00C732A7"/>
    <w:rsid w:val="00C74666"/>
    <w:rsid w:val="00C74B22"/>
    <w:rsid w:val="00C74D4F"/>
    <w:rsid w:val="00C75267"/>
    <w:rsid w:val="00C75354"/>
    <w:rsid w:val="00C7580B"/>
    <w:rsid w:val="00C76F49"/>
    <w:rsid w:val="00C77AFC"/>
    <w:rsid w:val="00C80973"/>
    <w:rsid w:val="00C81DAA"/>
    <w:rsid w:val="00C81FDF"/>
    <w:rsid w:val="00C82529"/>
    <w:rsid w:val="00C83FEC"/>
    <w:rsid w:val="00C8507F"/>
    <w:rsid w:val="00C85405"/>
    <w:rsid w:val="00C8578F"/>
    <w:rsid w:val="00C90216"/>
    <w:rsid w:val="00C90A39"/>
    <w:rsid w:val="00C90AEE"/>
    <w:rsid w:val="00C90EC0"/>
    <w:rsid w:val="00C91B3C"/>
    <w:rsid w:val="00C91D0E"/>
    <w:rsid w:val="00C92384"/>
    <w:rsid w:val="00C92D41"/>
    <w:rsid w:val="00C93B6C"/>
    <w:rsid w:val="00C94370"/>
    <w:rsid w:val="00C95BA8"/>
    <w:rsid w:val="00C965A1"/>
    <w:rsid w:val="00C96A47"/>
    <w:rsid w:val="00C96F27"/>
    <w:rsid w:val="00C97096"/>
    <w:rsid w:val="00CA12A6"/>
    <w:rsid w:val="00CA1416"/>
    <w:rsid w:val="00CA21F5"/>
    <w:rsid w:val="00CA30E5"/>
    <w:rsid w:val="00CA325B"/>
    <w:rsid w:val="00CA48FD"/>
    <w:rsid w:val="00CA5C87"/>
    <w:rsid w:val="00CA7D1B"/>
    <w:rsid w:val="00CB0116"/>
    <w:rsid w:val="00CB01CF"/>
    <w:rsid w:val="00CB039C"/>
    <w:rsid w:val="00CB13AD"/>
    <w:rsid w:val="00CB170F"/>
    <w:rsid w:val="00CB2599"/>
    <w:rsid w:val="00CB29F2"/>
    <w:rsid w:val="00CB2D27"/>
    <w:rsid w:val="00CB2F96"/>
    <w:rsid w:val="00CB2FC8"/>
    <w:rsid w:val="00CB3458"/>
    <w:rsid w:val="00CB3ABF"/>
    <w:rsid w:val="00CB4EC2"/>
    <w:rsid w:val="00CB515F"/>
    <w:rsid w:val="00CB522A"/>
    <w:rsid w:val="00CB597E"/>
    <w:rsid w:val="00CB66DC"/>
    <w:rsid w:val="00CB6A39"/>
    <w:rsid w:val="00CB6AD3"/>
    <w:rsid w:val="00CB711B"/>
    <w:rsid w:val="00CB7293"/>
    <w:rsid w:val="00CB72B9"/>
    <w:rsid w:val="00CC0167"/>
    <w:rsid w:val="00CC0316"/>
    <w:rsid w:val="00CC1FC1"/>
    <w:rsid w:val="00CC29C8"/>
    <w:rsid w:val="00CC3A84"/>
    <w:rsid w:val="00CC3CF6"/>
    <w:rsid w:val="00CC4138"/>
    <w:rsid w:val="00CC4D79"/>
    <w:rsid w:val="00CC4E66"/>
    <w:rsid w:val="00CC6550"/>
    <w:rsid w:val="00CD0473"/>
    <w:rsid w:val="00CD049A"/>
    <w:rsid w:val="00CD05E0"/>
    <w:rsid w:val="00CD0666"/>
    <w:rsid w:val="00CD0680"/>
    <w:rsid w:val="00CD075C"/>
    <w:rsid w:val="00CD078F"/>
    <w:rsid w:val="00CD0D01"/>
    <w:rsid w:val="00CD166F"/>
    <w:rsid w:val="00CD1CB7"/>
    <w:rsid w:val="00CD33B9"/>
    <w:rsid w:val="00CD3702"/>
    <w:rsid w:val="00CD417F"/>
    <w:rsid w:val="00CD492A"/>
    <w:rsid w:val="00CD4985"/>
    <w:rsid w:val="00CD4A1D"/>
    <w:rsid w:val="00CD68EA"/>
    <w:rsid w:val="00CD7491"/>
    <w:rsid w:val="00CE0F1A"/>
    <w:rsid w:val="00CE12A2"/>
    <w:rsid w:val="00CE13BA"/>
    <w:rsid w:val="00CE1F47"/>
    <w:rsid w:val="00CE27C3"/>
    <w:rsid w:val="00CE2877"/>
    <w:rsid w:val="00CE39B8"/>
    <w:rsid w:val="00CE3E29"/>
    <w:rsid w:val="00CE4542"/>
    <w:rsid w:val="00CE46A9"/>
    <w:rsid w:val="00CE4727"/>
    <w:rsid w:val="00CE4865"/>
    <w:rsid w:val="00CE6B8F"/>
    <w:rsid w:val="00CE6C1F"/>
    <w:rsid w:val="00CE79BB"/>
    <w:rsid w:val="00CE7F4D"/>
    <w:rsid w:val="00CF0561"/>
    <w:rsid w:val="00CF0764"/>
    <w:rsid w:val="00CF1A57"/>
    <w:rsid w:val="00CF294A"/>
    <w:rsid w:val="00CF32C4"/>
    <w:rsid w:val="00CF3DDC"/>
    <w:rsid w:val="00CF56E1"/>
    <w:rsid w:val="00CF5BE1"/>
    <w:rsid w:val="00CF5F54"/>
    <w:rsid w:val="00CF63FC"/>
    <w:rsid w:val="00CF6890"/>
    <w:rsid w:val="00CF7436"/>
    <w:rsid w:val="00CF7E04"/>
    <w:rsid w:val="00D00966"/>
    <w:rsid w:val="00D00C28"/>
    <w:rsid w:val="00D01891"/>
    <w:rsid w:val="00D01BB3"/>
    <w:rsid w:val="00D026B1"/>
    <w:rsid w:val="00D02D75"/>
    <w:rsid w:val="00D0320F"/>
    <w:rsid w:val="00D03A8B"/>
    <w:rsid w:val="00D05147"/>
    <w:rsid w:val="00D0642E"/>
    <w:rsid w:val="00D067EE"/>
    <w:rsid w:val="00D07063"/>
    <w:rsid w:val="00D07361"/>
    <w:rsid w:val="00D076C9"/>
    <w:rsid w:val="00D104F5"/>
    <w:rsid w:val="00D1158D"/>
    <w:rsid w:val="00D11AAA"/>
    <w:rsid w:val="00D122C2"/>
    <w:rsid w:val="00D12721"/>
    <w:rsid w:val="00D12945"/>
    <w:rsid w:val="00D142D1"/>
    <w:rsid w:val="00D15038"/>
    <w:rsid w:val="00D153C1"/>
    <w:rsid w:val="00D154CA"/>
    <w:rsid w:val="00D15A1C"/>
    <w:rsid w:val="00D15DC6"/>
    <w:rsid w:val="00D15EDE"/>
    <w:rsid w:val="00D170FC"/>
    <w:rsid w:val="00D173C0"/>
    <w:rsid w:val="00D174B2"/>
    <w:rsid w:val="00D207C7"/>
    <w:rsid w:val="00D219EF"/>
    <w:rsid w:val="00D22040"/>
    <w:rsid w:val="00D226BC"/>
    <w:rsid w:val="00D226F4"/>
    <w:rsid w:val="00D23B31"/>
    <w:rsid w:val="00D23F3B"/>
    <w:rsid w:val="00D24B36"/>
    <w:rsid w:val="00D25181"/>
    <w:rsid w:val="00D25641"/>
    <w:rsid w:val="00D26CBD"/>
    <w:rsid w:val="00D306B7"/>
    <w:rsid w:val="00D30EBA"/>
    <w:rsid w:val="00D3169C"/>
    <w:rsid w:val="00D3202F"/>
    <w:rsid w:val="00D32A94"/>
    <w:rsid w:val="00D32B96"/>
    <w:rsid w:val="00D32E12"/>
    <w:rsid w:val="00D33B48"/>
    <w:rsid w:val="00D33F70"/>
    <w:rsid w:val="00D33FCD"/>
    <w:rsid w:val="00D34A4C"/>
    <w:rsid w:val="00D34E0F"/>
    <w:rsid w:val="00D36140"/>
    <w:rsid w:val="00D36841"/>
    <w:rsid w:val="00D36B64"/>
    <w:rsid w:val="00D36B77"/>
    <w:rsid w:val="00D36F43"/>
    <w:rsid w:val="00D37C32"/>
    <w:rsid w:val="00D37CFB"/>
    <w:rsid w:val="00D37E2C"/>
    <w:rsid w:val="00D4051B"/>
    <w:rsid w:val="00D41E48"/>
    <w:rsid w:val="00D43742"/>
    <w:rsid w:val="00D43F6D"/>
    <w:rsid w:val="00D44217"/>
    <w:rsid w:val="00D44550"/>
    <w:rsid w:val="00D45890"/>
    <w:rsid w:val="00D45EB4"/>
    <w:rsid w:val="00D4609B"/>
    <w:rsid w:val="00D46B7F"/>
    <w:rsid w:val="00D50567"/>
    <w:rsid w:val="00D50AC3"/>
    <w:rsid w:val="00D518C2"/>
    <w:rsid w:val="00D51B88"/>
    <w:rsid w:val="00D52936"/>
    <w:rsid w:val="00D52945"/>
    <w:rsid w:val="00D537C7"/>
    <w:rsid w:val="00D54849"/>
    <w:rsid w:val="00D54D1E"/>
    <w:rsid w:val="00D54F42"/>
    <w:rsid w:val="00D564C4"/>
    <w:rsid w:val="00D5694C"/>
    <w:rsid w:val="00D575CB"/>
    <w:rsid w:val="00D57BD3"/>
    <w:rsid w:val="00D57F11"/>
    <w:rsid w:val="00D60111"/>
    <w:rsid w:val="00D60535"/>
    <w:rsid w:val="00D62AAE"/>
    <w:rsid w:val="00D62C35"/>
    <w:rsid w:val="00D6306D"/>
    <w:rsid w:val="00D631E5"/>
    <w:rsid w:val="00D63E9A"/>
    <w:rsid w:val="00D64670"/>
    <w:rsid w:val="00D64A33"/>
    <w:rsid w:val="00D65034"/>
    <w:rsid w:val="00D6585B"/>
    <w:rsid w:val="00D65A5C"/>
    <w:rsid w:val="00D65ED4"/>
    <w:rsid w:val="00D66924"/>
    <w:rsid w:val="00D66ED1"/>
    <w:rsid w:val="00D67660"/>
    <w:rsid w:val="00D67C17"/>
    <w:rsid w:val="00D7095E"/>
    <w:rsid w:val="00D712E2"/>
    <w:rsid w:val="00D71575"/>
    <w:rsid w:val="00D723F9"/>
    <w:rsid w:val="00D7360B"/>
    <w:rsid w:val="00D74078"/>
    <w:rsid w:val="00D74083"/>
    <w:rsid w:val="00D74C3B"/>
    <w:rsid w:val="00D752D4"/>
    <w:rsid w:val="00D75EDD"/>
    <w:rsid w:val="00D76A01"/>
    <w:rsid w:val="00D76A4E"/>
    <w:rsid w:val="00D776D9"/>
    <w:rsid w:val="00D777D1"/>
    <w:rsid w:val="00D77D13"/>
    <w:rsid w:val="00D8092E"/>
    <w:rsid w:val="00D80FEA"/>
    <w:rsid w:val="00D82167"/>
    <w:rsid w:val="00D830C0"/>
    <w:rsid w:val="00D83BBC"/>
    <w:rsid w:val="00D84580"/>
    <w:rsid w:val="00D85487"/>
    <w:rsid w:val="00D85A22"/>
    <w:rsid w:val="00D85F6A"/>
    <w:rsid w:val="00D86A6C"/>
    <w:rsid w:val="00D876CB"/>
    <w:rsid w:val="00D87C80"/>
    <w:rsid w:val="00D90658"/>
    <w:rsid w:val="00D90CFC"/>
    <w:rsid w:val="00D910EB"/>
    <w:rsid w:val="00D91BE6"/>
    <w:rsid w:val="00D91D0D"/>
    <w:rsid w:val="00D92431"/>
    <w:rsid w:val="00D92BBE"/>
    <w:rsid w:val="00D93420"/>
    <w:rsid w:val="00D938BD"/>
    <w:rsid w:val="00D93D9C"/>
    <w:rsid w:val="00D9465E"/>
    <w:rsid w:val="00D94D7A"/>
    <w:rsid w:val="00D95543"/>
    <w:rsid w:val="00D95FE2"/>
    <w:rsid w:val="00D96013"/>
    <w:rsid w:val="00D9643E"/>
    <w:rsid w:val="00D9748B"/>
    <w:rsid w:val="00D9784C"/>
    <w:rsid w:val="00D97C05"/>
    <w:rsid w:val="00DA099F"/>
    <w:rsid w:val="00DA1913"/>
    <w:rsid w:val="00DA1F29"/>
    <w:rsid w:val="00DA246C"/>
    <w:rsid w:val="00DA249D"/>
    <w:rsid w:val="00DA28EA"/>
    <w:rsid w:val="00DA2BAC"/>
    <w:rsid w:val="00DA4557"/>
    <w:rsid w:val="00DA4C89"/>
    <w:rsid w:val="00DA4D8B"/>
    <w:rsid w:val="00DA4F4F"/>
    <w:rsid w:val="00DA59B6"/>
    <w:rsid w:val="00DA63E6"/>
    <w:rsid w:val="00DA64AA"/>
    <w:rsid w:val="00DA7D1F"/>
    <w:rsid w:val="00DA7D30"/>
    <w:rsid w:val="00DB021C"/>
    <w:rsid w:val="00DB0AFB"/>
    <w:rsid w:val="00DB1164"/>
    <w:rsid w:val="00DB17D1"/>
    <w:rsid w:val="00DB1C09"/>
    <w:rsid w:val="00DB20B2"/>
    <w:rsid w:val="00DB20E4"/>
    <w:rsid w:val="00DB2162"/>
    <w:rsid w:val="00DB2A0F"/>
    <w:rsid w:val="00DB3F1C"/>
    <w:rsid w:val="00DB4336"/>
    <w:rsid w:val="00DB6119"/>
    <w:rsid w:val="00DB6BB7"/>
    <w:rsid w:val="00DB6EA8"/>
    <w:rsid w:val="00DB702A"/>
    <w:rsid w:val="00DB7109"/>
    <w:rsid w:val="00DB7B34"/>
    <w:rsid w:val="00DC0617"/>
    <w:rsid w:val="00DC0673"/>
    <w:rsid w:val="00DC08FA"/>
    <w:rsid w:val="00DC1401"/>
    <w:rsid w:val="00DC16B9"/>
    <w:rsid w:val="00DC2746"/>
    <w:rsid w:val="00DC39FA"/>
    <w:rsid w:val="00DC43C7"/>
    <w:rsid w:val="00DC480E"/>
    <w:rsid w:val="00DC4CF6"/>
    <w:rsid w:val="00DC5B3D"/>
    <w:rsid w:val="00DC5D7B"/>
    <w:rsid w:val="00DC75F3"/>
    <w:rsid w:val="00DC7736"/>
    <w:rsid w:val="00DC7FF6"/>
    <w:rsid w:val="00DD0796"/>
    <w:rsid w:val="00DD1273"/>
    <w:rsid w:val="00DD16D0"/>
    <w:rsid w:val="00DD191D"/>
    <w:rsid w:val="00DD1956"/>
    <w:rsid w:val="00DD21E1"/>
    <w:rsid w:val="00DD5CCA"/>
    <w:rsid w:val="00DD7770"/>
    <w:rsid w:val="00DE0018"/>
    <w:rsid w:val="00DE046B"/>
    <w:rsid w:val="00DE1B29"/>
    <w:rsid w:val="00DE37F5"/>
    <w:rsid w:val="00DE48F7"/>
    <w:rsid w:val="00DE4A93"/>
    <w:rsid w:val="00DE59EC"/>
    <w:rsid w:val="00DE76AB"/>
    <w:rsid w:val="00DE794F"/>
    <w:rsid w:val="00DF026F"/>
    <w:rsid w:val="00DF0335"/>
    <w:rsid w:val="00DF078C"/>
    <w:rsid w:val="00DF2067"/>
    <w:rsid w:val="00DF231E"/>
    <w:rsid w:val="00DF2804"/>
    <w:rsid w:val="00DF3289"/>
    <w:rsid w:val="00DF3837"/>
    <w:rsid w:val="00DF3DF4"/>
    <w:rsid w:val="00DF48E6"/>
    <w:rsid w:val="00DF4D2A"/>
    <w:rsid w:val="00DF565D"/>
    <w:rsid w:val="00DF6097"/>
    <w:rsid w:val="00DF665F"/>
    <w:rsid w:val="00DF6FBB"/>
    <w:rsid w:val="00DF7280"/>
    <w:rsid w:val="00DF769E"/>
    <w:rsid w:val="00E0080F"/>
    <w:rsid w:val="00E00FDB"/>
    <w:rsid w:val="00E02128"/>
    <w:rsid w:val="00E03104"/>
    <w:rsid w:val="00E03CBB"/>
    <w:rsid w:val="00E03E07"/>
    <w:rsid w:val="00E0407F"/>
    <w:rsid w:val="00E05378"/>
    <w:rsid w:val="00E05C7E"/>
    <w:rsid w:val="00E0718E"/>
    <w:rsid w:val="00E073B0"/>
    <w:rsid w:val="00E1150B"/>
    <w:rsid w:val="00E118D0"/>
    <w:rsid w:val="00E11CD2"/>
    <w:rsid w:val="00E12564"/>
    <w:rsid w:val="00E12A97"/>
    <w:rsid w:val="00E13072"/>
    <w:rsid w:val="00E1377E"/>
    <w:rsid w:val="00E13B5B"/>
    <w:rsid w:val="00E14001"/>
    <w:rsid w:val="00E14A10"/>
    <w:rsid w:val="00E14C0D"/>
    <w:rsid w:val="00E15743"/>
    <w:rsid w:val="00E16721"/>
    <w:rsid w:val="00E167DA"/>
    <w:rsid w:val="00E168F8"/>
    <w:rsid w:val="00E169E9"/>
    <w:rsid w:val="00E17005"/>
    <w:rsid w:val="00E200CB"/>
    <w:rsid w:val="00E20981"/>
    <w:rsid w:val="00E20A93"/>
    <w:rsid w:val="00E20AB8"/>
    <w:rsid w:val="00E21518"/>
    <w:rsid w:val="00E22559"/>
    <w:rsid w:val="00E22D30"/>
    <w:rsid w:val="00E23BD0"/>
    <w:rsid w:val="00E24CE6"/>
    <w:rsid w:val="00E25145"/>
    <w:rsid w:val="00E259D1"/>
    <w:rsid w:val="00E26724"/>
    <w:rsid w:val="00E26C1E"/>
    <w:rsid w:val="00E27315"/>
    <w:rsid w:val="00E27EAC"/>
    <w:rsid w:val="00E30054"/>
    <w:rsid w:val="00E3072A"/>
    <w:rsid w:val="00E30D33"/>
    <w:rsid w:val="00E31586"/>
    <w:rsid w:val="00E32525"/>
    <w:rsid w:val="00E32F73"/>
    <w:rsid w:val="00E3323B"/>
    <w:rsid w:val="00E335EA"/>
    <w:rsid w:val="00E3385C"/>
    <w:rsid w:val="00E34124"/>
    <w:rsid w:val="00E34144"/>
    <w:rsid w:val="00E34485"/>
    <w:rsid w:val="00E34992"/>
    <w:rsid w:val="00E35281"/>
    <w:rsid w:val="00E358A6"/>
    <w:rsid w:val="00E35CC3"/>
    <w:rsid w:val="00E3726D"/>
    <w:rsid w:val="00E4012A"/>
    <w:rsid w:val="00E405A8"/>
    <w:rsid w:val="00E41A7F"/>
    <w:rsid w:val="00E42284"/>
    <w:rsid w:val="00E4236F"/>
    <w:rsid w:val="00E4271E"/>
    <w:rsid w:val="00E42A33"/>
    <w:rsid w:val="00E42DCD"/>
    <w:rsid w:val="00E44BAF"/>
    <w:rsid w:val="00E450BB"/>
    <w:rsid w:val="00E45AD5"/>
    <w:rsid w:val="00E462E6"/>
    <w:rsid w:val="00E46701"/>
    <w:rsid w:val="00E469FD"/>
    <w:rsid w:val="00E46CC1"/>
    <w:rsid w:val="00E476BD"/>
    <w:rsid w:val="00E47B63"/>
    <w:rsid w:val="00E50298"/>
    <w:rsid w:val="00E5040C"/>
    <w:rsid w:val="00E515A1"/>
    <w:rsid w:val="00E51AC5"/>
    <w:rsid w:val="00E51C6A"/>
    <w:rsid w:val="00E522E6"/>
    <w:rsid w:val="00E522EB"/>
    <w:rsid w:val="00E531ED"/>
    <w:rsid w:val="00E53717"/>
    <w:rsid w:val="00E53EA7"/>
    <w:rsid w:val="00E54664"/>
    <w:rsid w:val="00E54C94"/>
    <w:rsid w:val="00E54CEF"/>
    <w:rsid w:val="00E5513B"/>
    <w:rsid w:val="00E556BF"/>
    <w:rsid w:val="00E56009"/>
    <w:rsid w:val="00E56527"/>
    <w:rsid w:val="00E5726D"/>
    <w:rsid w:val="00E57BC4"/>
    <w:rsid w:val="00E57CE9"/>
    <w:rsid w:val="00E6002D"/>
    <w:rsid w:val="00E601BB"/>
    <w:rsid w:val="00E605B7"/>
    <w:rsid w:val="00E605DE"/>
    <w:rsid w:val="00E6092D"/>
    <w:rsid w:val="00E609EE"/>
    <w:rsid w:val="00E609FB"/>
    <w:rsid w:val="00E61A8A"/>
    <w:rsid w:val="00E62DDD"/>
    <w:rsid w:val="00E6316B"/>
    <w:rsid w:val="00E63ACD"/>
    <w:rsid w:val="00E6657E"/>
    <w:rsid w:val="00E668FB"/>
    <w:rsid w:val="00E67942"/>
    <w:rsid w:val="00E67E5F"/>
    <w:rsid w:val="00E7193A"/>
    <w:rsid w:val="00E7241E"/>
    <w:rsid w:val="00E72F65"/>
    <w:rsid w:val="00E7324B"/>
    <w:rsid w:val="00E7394D"/>
    <w:rsid w:val="00E749A7"/>
    <w:rsid w:val="00E74FCA"/>
    <w:rsid w:val="00E755D3"/>
    <w:rsid w:val="00E77902"/>
    <w:rsid w:val="00E801A1"/>
    <w:rsid w:val="00E81C94"/>
    <w:rsid w:val="00E82633"/>
    <w:rsid w:val="00E82BA5"/>
    <w:rsid w:val="00E82CDA"/>
    <w:rsid w:val="00E83844"/>
    <w:rsid w:val="00E83F4B"/>
    <w:rsid w:val="00E85565"/>
    <w:rsid w:val="00E85620"/>
    <w:rsid w:val="00E85B36"/>
    <w:rsid w:val="00E85C4D"/>
    <w:rsid w:val="00E86417"/>
    <w:rsid w:val="00E867BB"/>
    <w:rsid w:val="00E873DE"/>
    <w:rsid w:val="00E8751A"/>
    <w:rsid w:val="00E875C8"/>
    <w:rsid w:val="00E87A70"/>
    <w:rsid w:val="00E87FEC"/>
    <w:rsid w:val="00E905A9"/>
    <w:rsid w:val="00E90B57"/>
    <w:rsid w:val="00E910ED"/>
    <w:rsid w:val="00E91165"/>
    <w:rsid w:val="00E927C3"/>
    <w:rsid w:val="00E9293D"/>
    <w:rsid w:val="00E929D4"/>
    <w:rsid w:val="00E92B6F"/>
    <w:rsid w:val="00E92F3B"/>
    <w:rsid w:val="00E93159"/>
    <w:rsid w:val="00E93B35"/>
    <w:rsid w:val="00E944DD"/>
    <w:rsid w:val="00E94E72"/>
    <w:rsid w:val="00E94F87"/>
    <w:rsid w:val="00E94FBB"/>
    <w:rsid w:val="00E954A6"/>
    <w:rsid w:val="00E95622"/>
    <w:rsid w:val="00E95B48"/>
    <w:rsid w:val="00EA09A8"/>
    <w:rsid w:val="00EA0AFD"/>
    <w:rsid w:val="00EA0E4B"/>
    <w:rsid w:val="00EA21C6"/>
    <w:rsid w:val="00EA21E5"/>
    <w:rsid w:val="00EA243A"/>
    <w:rsid w:val="00EA25A0"/>
    <w:rsid w:val="00EA3AD8"/>
    <w:rsid w:val="00EA3DD5"/>
    <w:rsid w:val="00EA3E99"/>
    <w:rsid w:val="00EA3F55"/>
    <w:rsid w:val="00EA4150"/>
    <w:rsid w:val="00EA489A"/>
    <w:rsid w:val="00EA4C32"/>
    <w:rsid w:val="00EA50AE"/>
    <w:rsid w:val="00EA5BD3"/>
    <w:rsid w:val="00EA5D3B"/>
    <w:rsid w:val="00EA5E9E"/>
    <w:rsid w:val="00EA6390"/>
    <w:rsid w:val="00EB0E42"/>
    <w:rsid w:val="00EB118A"/>
    <w:rsid w:val="00EB152F"/>
    <w:rsid w:val="00EB15A8"/>
    <w:rsid w:val="00EB2263"/>
    <w:rsid w:val="00EB2834"/>
    <w:rsid w:val="00EB2AA8"/>
    <w:rsid w:val="00EB2BC8"/>
    <w:rsid w:val="00EB317F"/>
    <w:rsid w:val="00EB31C3"/>
    <w:rsid w:val="00EB3BC0"/>
    <w:rsid w:val="00EB40B5"/>
    <w:rsid w:val="00EB4FD0"/>
    <w:rsid w:val="00EB6670"/>
    <w:rsid w:val="00EB6F40"/>
    <w:rsid w:val="00EB7157"/>
    <w:rsid w:val="00EB7265"/>
    <w:rsid w:val="00EB7AFF"/>
    <w:rsid w:val="00EB7D45"/>
    <w:rsid w:val="00EC0000"/>
    <w:rsid w:val="00EC05D3"/>
    <w:rsid w:val="00EC060E"/>
    <w:rsid w:val="00EC0967"/>
    <w:rsid w:val="00EC0983"/>
    <w:rsid w:val="00EC0AEF"/>
    <w:rsid w:val="00EC1DD7"/>
    <w:rsid w:val="00EC40DA"/>
    <w:rsid w:val="00EC4233"/>
    <w:rsid w:val="00EC444A"/>
    <w:rsid w:val="00EC4967"/>
    <w:rsid w:val="00EC4C67"/>
    <w:rsid w:val="00EC4C88"/>
    <w:rsid w:val="00EC52A6"/>
    <w:rsid w:val="00EC5831"/>
    <w:rsid w:val="00EC5DA5"/>
    <w:rsid w:val="00EC6DC1"/>
    <w:rsid w:val="00EC6E9D"/>
    <w:rsid w:val="00EC796B"/>
    <w:rsid w:val="00EC7E91"/>
    <w:rsid w:val="00EC7FCE"/>
    <w:rsid w:val="00ED00AB"/>
    <w:rsid w:val="00ED1FD8"/>
    <w:rsid w:val="00ED29A1"/>
    <w:rsid w:val="00ED29B9"/>
    <w:rsid w:val="00ED34A6"/>
    <w:rsid w:val="00ED53BF"/>
    <w:rsid w:val="00ED5F9A"/>
    <w:rsid w:val="00ED6FAB"/>
    <w:rsid w:val="00ED7719"/>
    <w:rsid w:val="00EE000E"/>
    <w:rsid w:val="00EE08C3"/>
    <w:rsid w:val="00EE1508"/>
    <w:rsid w:val="00EE15B2"/>
    <w:rsid w:val="00EE1849"/>
    <w:rsid w:val="00EE1E37"/>
    <w:rsid w:val="00EE2DFD"/>
    <w:rsid w:val="00EE3572"/>
    <w:rsid w:val="00EE372E"/>
    <w:rsid w:val="00EE4901"/>
    <w:rsid w:val="00EE4BFF"/>
    <w:rsid w:val="00EE4F1F"/>
    <w:rsid w:val="00EE5239"/>
    <w:rsid w:val="00EE5DB2"/>
    <w:rsid w:val="00EE5F81"/>
    <w:rsid w:val="00EE678B"/>
    <w:rsid w:val="00EE6D41"/>
    <w:rsid w:val="00EF05B6"/>
    <w:rsid w:val="00EF2C9B"/>
    <w:rsid w:val="00EF3395"/>
    <w:rsid w:val="00EF3467"/>
    <w:rsid w:val="00EF3667"/>
    <w:rsid w:val="00EF54CC"/>
    <w:rsid w:val="00EF622B"/>
    <w:rsid w:val="00EF6B9B"/>
    <w:rsid w:val="00EF7CF6"/>
    <w:rsid w:val="00EF7E67"/>
    <w:rsid w:val="00EF7FA2"/>
    <w:rsid w:val="00F0004A"/>
    <w:rsid w:val="00F003B1"/>
    <w:rsid w:val="00F003FB"/>
    <w:rsid w:val="00F01122"/>
    <w:rsid w:val="00F0129A"/>
    <w:rsid w:val="00F0149E"/>
    <w:rsid w:val="00F02A50"/>
    <w:rsid w:val="00F02FDD"/>
    <w:rsid w:val="00F0386D"/>
    <w:rsid w:val="00F03B21"/>
    <w:rsid w:val="00F03C4C"/>
    <w:rsid w:val="00F05AB6"/>
    <w:rsid w:val="00F06BBF"/>
    <w:rsid w:val="00F07118"/>
    <w:rsid w:val="00F07A9E"/>
    <w:rsid w:val="00F105F1"/>
    <w:rsid w:val="00F10A8E"/>
    <w:rsid w:val="00F10BA1"/>
    <w:rsid w:val="00F10E37"/>
    <w:rsid w:val="00F10F51"/>
    <w:rsid w:val="00F113E4"/>
    <w:rsid w:val="00F115CE"/>
    <w:rsid w:val="00F12721"/>
    <w:rsid w:val="00F12835"/>
    <w:rsid w:val="00F13B85"/>
    <w:rsid w:val="00F16405"/>
    <w:rsid w:val="00F1730D"/>
    <w:rsid w:val="00F17658"/>
    <w:rsid w:val="00F21CB2"/>
    <w:rsid w:val="00F227A7"/>
    <w:rsid w:val="00F22B2A"/>
    <w:rsid w:val="00F23091"/>
    <w:rsid w:val="00F259A2"/>
    <w:rsid w:val="00F265D2"/>
    <w:rsid w:val="00F265D4"/>
    <w:rsid w:val="00F2671A"/>
    <w:rsid w:val="00F2671C"/>
    <w:rsid w:val="00F27264"/>
    <w:rsid w:val="00F277D6"/>
    <w:rsid w:val="00F27B92"/>
    <w:rsid w:val="00F3055A"/>
    <w:rsid w:val="00F30B34"/>
    <w:rsid w:val="00F31991"/>
    <w:rsid w:val="00F33686"/>
    <w:rsid w:val="00F34605"/>
    <w:rsid w:val="00F35104"/>
    <w:rsid w:val="00F35817"/>
    <w:rsid w:val="00F3624C"/>
    <w:rsid w:val="00F3707F"/>
    <w:rsid w:val="00F371DA"/>
    <w:rsid w:val="00F3768C"/>
    <w:rsid w:val="00F3770E"/>
    <w:rsid w:val="00F37E2F"/>
    <w:rsid w:val="00F40452"/>
    <w:rsid w:val="00F40C1F"/>
    <w:rsid w:val="00F41383"/>
    <w:rsid w:val="00F41674"/>
    <w:rsid w:val="00F41728"/>
    <w:rsid w:val="00F41A5F"/>
    <w:rsid w:val="00F42897"/>
    <w:rsid w:val="00F42BCB"/>
    <w:rsid w:val="00F44A1E"/>
    <w:rsid w:val="00F45270"/>
    <w:rsid w:val="00F45461"/>
    <w:rsid w:val="00F457FB"/>
    <w:rsid w:val="00F46E59"/>
    <w:rsid w:val="00F46FF6"/>
    <w:rsid w:val="00F47083"/>
    <w:rsid w:val="00F47828"/>
    <w:rsid w:val="00F47BA2"/>
    <w:rsid w:val="00F47CA8"/>
    <w:rsid w:val="00F47CB8"/>
    <w:rsid w:val="00F47FBC"/>
    <w:rsid w:val="00F505D0"/>
    <w:rsid w:val="00F50DF5"/>
    <w:rsid w:val="00F512BA"/>
    <w:rsid w:val="00F522AB"/>
    <w:rsid w:val="00F52607"/>
    <w:rsid w:val="00F52662"/>
    <w:rsid w:val="00F55682"/>
    <w:rsid w:val="00F55B1F"/>
    <w:rsid w:val="00F56956"/>
    <w:rsid w:val="00F56D3A"/>
    <w:rsid w:val="00F57716"/>
    <w:rsid w:val="00F57A21"/>
    <w:rsid w:val="00F61FC6"/>
    <w:rsid w:val="00F623B5"/>
    <w:rsid w:val="00F64762"/>
    <w:rsid w:val="00F64870"/>
    <w:rsid w:val="00F64943"/>
    <w:rsid w:val="00F653ED"/>
    <w:rsid w:val="00F65B56"/>
    <w:rsid w:val="00F65DCD"/>
    <w:rsid w:val="00F66FD1"/>
    <w:rsid w:val="00F672D6"/>
    <w:rsid w:val="00F67F83"/>
    <w:rsid w:val="00F705E2"/>
    <w:rsid w:val="00F706C1"/>
    <w:rsid w:val="00F723D1"/>
    <w:rsid w:val="00F73DBF"/>
    <w:rsid w:val="00F74699"/>
    <w:rsid w:val="00F74800"/>
    <w:rsid w:val="00F7540B"/>
    <w:rsid w:val="00F754E9"/>
    <w:rsid w:val="00F75DF5"/>
    <w:rsid w:val="00F768AC"/>
    <w:rsid w:val="00F77C18"/>
    <w:rsid w:val="00F80059"/>
    <w:rsid w:val="00F80698"/>
    <w:rsid w:val="00F81030"/>
    <w:rsid w:val="00F81785"/>
    <w:rsid w:val="00F832C1"/>
    <w:rsid w:val="00F83380"/>
    <w:rsid w:val="00F834A1"/>
    <w:rsid w:val="00F86542"/>
    <w:rsid w:val="00F86CFA"/>
    <w:rsid w:val="00F8791F"/>
    <w:rsid w:val="00F9044B"/>
    <w:rsid w:val="00F90865"/>
    <w:rsid w:val="00F92CC6"/>
    <w:rsid w:val="00F93052"/>
    <w:rsid w:val="00F932B6"/>
    <w:rsid w:val="00F934D6"/>
    <w:rsid w:val="00F93EAA"/>
    <w:rsid w:val="00F9455A"/>
    <w:rsid w:val="00F954F3"/>
    <w:rsid w:val="00F9554D"/>
    <w:rsid w:val="00F95CED"/>
    <w:rsid w:val="00F9637C"/>
    <w:rsid w:val="00F96770"/>
    <w:rsid w:val="00F967F4"/>
    <w:rsid w:val="00F9698E"/>
    <w:rsid w:val="00FA0392"/>
    <w:rsid w:val="00FA0CE9"/>
    <w:rsid w:val="00FA155C"/>
    <w:rsid w:val="00FA1F1D"/>
    <w:rsid w:val="00FA20A2"/>
    <w:rsid w:val="00FA2DC3"/>
    <w:rsid w:val="00FA2E23"/>
    <w:rsid w:val="00FA2FE5"/>
    <w:rsid w:val="00FA3635"/>
    <w:rsid w:val="00FA3D7A"/>
    <w:rsid w:val="00FA4BDC"/>
    <w:rsid w:val="00FA66E0"/>
    <w:rsid w:val="00FA6990"/>
    <w:rsid w:val="00FA726B"/>
    <w:rsid w:val="00FB11EC"/>
    <w:rsid w:val="00FB120A"/>
    <w:rsid w:val="00FB12BD"/>
    <w:rsid w:val="00FB1508"/>
    <w:rsid w:val="00FB19D6"/>
    <w:rsid w:val="00FB24C4"/>
    <w:rsid w:val="00FB2E2E"/>
    <w:rsid w:val="00FB3B2E"/>
    <w:rsid w:val="00FB4AF7"/>
    <w:rsid w:val="00FB4EAB"/>
    <w:rsid w:val="00FB5755"/>
    <w:rsid w:val="00FB5DCC"/>
    <w:rsid w:val="00FB61F1"/>
    <w:rsid w:val="00FB6829"/>
    <w:rsid w:val="00FB7354"/>
    <w:rsid w:val="00FB7685"/>
    <w:rsid w:val="00FC000C"/>
    <w:rsid w:val="00FC03EE"/>
    <w:rsid w:val="00FC2143"/>
    <w:rsid w:val="00FC275C"/>
    <w:rsid w:val="00FC2E40"/>
    <w:rsid w:val="00FC36F1"/>
    <w:rsid w:val="00FC521D"/>
    <w:rsid w:val="00FC53EB"/>
    <w:rsid w:val="00FC6187"/>
    <w:rsid w:val="00FC73AD"/>
    <w:rsid w:val="00FD0DDD"/>
    <w:rsid w:val="00FD1007"/>
    <w:rsid w:val="00FD17DC"/>
    <w:rsid w:val="00FD1A6D"/>
    <w:rsid w:val="00FD2919"/>
    <w:rsid w:val="00FD2D49"/>
    <w:rsid w:val="00FD32D8"/>
    <w:rsid w:val="00FD4FB8"/>
    <w:rsid w:val="00FD59FA"/>
    <w:rsid w:val="00FD6684"/>
    <w:rsid w:val="00FD6864"/>
    <w:rsid w:val="00FD7023"/>
    <w:rsid w:val="00FD7E6E"/>
    <w:rsid w:val="00FD7EEC"/>
    <w:rsid w:val="00FE07CF"/>
    <w:rsid w:val="00FE0E4B"/>
    <w:rsid w:val="00FE2002"/>
    <w:rsid w:val="00FE20C3"/>
    <w:rsid w:val="00FE2A2F"/>
    <w:rsid w:val="00FE3448"/>
    <w:rsid w:val="00FE3549"/>
    <w:rsid w:val="00FE51DE"/>
    <w:rsid w:val="00FE559E"/>
    <w:rsid w:val="00FE6E87"/>
    <w:rsid w:val="00FE7024"/>
    <w:rsid w:val="00FF02D5"/>
    <w:rsid w:val="00FF0316"/>
    <w:rsid w:val="00FF0C6B"/>
    <w:rsid w:val="00FF0D55"/>
    <w:rsid w:val="00FF20D5"/>
    <w:rsid w:val="00FF3146"/>
    <w:rsid w:val="00FF3302"/>
    <w:rsid w:val="00FF3F60"/>
    <w:rsid w:val="00FF5BBE"/>
    <w:rsid w:val="00FF6F35"/>
    <w:rsid w:val="00FF72C1"/>
    <w:rsid w:val="00FF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FBD79"/>
  <w15:chartTrackingRefBased/>
  <w15:docId w15:val="{CC19CE8A-D004-40D1-81C1-119A1E36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914"/>
    <w:rPr>
      <w:rFonts w:ascii="Arial" w:hAnsi="Arial"/>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b/>
      <w:sz w:val="22"/>
      <w:u w:val="single"/>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pBdr>
        <w:top w:val="thinThickLargeGap" w:sz="24" w:space="1" w:color="auto"/>
        <w:left w:val="thinThickLargeGap" w:sz="24" w:space="4" w:color="auto"/>
        <w:bottom w:val="thickThinLargeGap" w:sz="24" w:space="1" w:color="auto"/>
        <w:right w:val="thickThinLargeGap" w:sz="24" w:space="4" w:color="auto"/>
      </w:pBdr>
      <w:outlineLvl w:val="6"/>
    </w:pPr>
    <w:rPr>
      <w:sz w:val="72"/>
    </w:rPr>
  </w:style>
  <w:style w:type="paragraph" w:styleId="Heading8">
    <w:name w:val="heading 8"/>
    <w:basedOn w:val="Normal"/>
    <w:next w:val="Normal"/>
    <w:qFormat/>
    <w:pPr>
      <w:keepNext/>
      <w:outlineLvl w:val="7"/>
    </w:pPr>
    <w:rPr>
      <w:b/>
      <w:sz w:val="17"/>
    </w:rPr>
  </w:style>
  <w:style w:type="paragraph" w:styleId="Heading9">
    <w:name w:val="heading 9"/>
    <w:basedOn w:val="Normal"/>
    <w:next w:val="Normal"/>
    <w:qFormat/>
    <w:pPr>
      <w:keepNext/>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pPr>
      <w:jc w:val="center"/>
    </w:pPr>
    <w:rPr>
      <w:b/>
      <w:u w:val="single"/>
    </w:rPr>
  </w:style>
  <w:style w:type="paragraph" w:styleId="BodyText">
    <w:name w:val="Body Text"/>
    <w:basedOn w:val="Normal"/>
    <w:link w:val="BodyTextChar"/>
    <w:rPr>
      <w:b/>
    </w:rPr>
  </w:style>
  <w:style w:type="paragraph" w:styleId="EndnoteText">
    <w:name w:val="endnote text"/>
    <w:basedOn w:val="Normal"/>
    <w:semiHidden/>
    <w:pPr>
      <w:widowControl w:val="0"/>
    </w:pPr>
    <w:rPr>
      <w:rFonts w:ascii="Courier New" w:hAnsi="Courier New"/>
      <w:snapToGrid w:val="0"/>
      <w:lang w:eastAsia="en-US"/>
    </w:rPr>
  </w:style>
  <w:style w:type="paragraph" w:styleId="Subtitle">
    <w:name w:val="Subtitle"/>
    <w:basedOn w:val="Normal"/>
    <w:qFormat/>
    <w:pPr>
      <w:jc w:val="center"/>
    </w:pPr>
    <w:rPr>
      <w:b/>
      <w:u w:val="single"/>
    </w:rPr>
  </w:style>
  <w:style w:type="paragraph" w:styleId="BodyTextIndent">
    <w:name w:val="Body Text Indent"/>
    <w:basedOn w:val="Normal"/>
    <w:pPr>
      <w:tabs>
        <w:tab w:val="left" w:pos="720"/>
      </w:tabs>
      <w:ind w:left="720" w:hanging="720"/>
    </w:pPr>
  </w:style>
  <w:style w:type="paragraph" w:styleId="Header">
    <w:name w:val="header"/>
    <w:basedOn w:val="Normal"/>
    <w:link w:val="HeaderChar"/>
    <w:pPr>
      <w:tabs>
        <w:tab w:val="center" w:pos="4153"/>
        <w:tab w:val="right" w:pos="8306"/>
      </w:tabs>
    </w:pPr>
  </w:style>
  <w:style w:type="paragraph" w:styleId="ListNumber">
    <w:name w:val="List Number"/>
    <w:basedOn w:val="Normal"/>
    <w:pPr>
      <w:numPr>
        <w:numId w:val="4"/>
      </w:numPr>
      <w:tabs>
        <w:tab w:val="clear" w:pos="360"/>
        <w:tab w:val="num" w:pos="720"/>
      </w:tabs>
      <w:ind w:left="720" w:hanging="720"/>
    </w:pPr>
    <w:rPr>
      <w:rFonts w:ascii="Univers" w:hAnsi="Univers"/>
      <w:b/>
      <w:caps/>
    </w:rPr>
  </w:style>
  <w:style w:type="paragraph" w:styleId="BodyTextIndent2">
    <w:name w:val="Body Text Indent 2"/>
    <w:basedOn w:val="Normal"/>
    <w:pPr>
      <w:ind w:left="720"/>
    </w:pPr>
  </w:style>
  <w:style w:type="paragraph" w:styleId="BodyText2">
    <w:name w:val="Body Text 2"/>
    <w:basedOn w:val="Normal"/>
    <w:pPr>
      <w:ind w:right="318"/>
      <w:jc w:val="right"/>
    </w:pPr>
  </w:style>
  <w:style w:type="paragraph" w:styleId="BodyText3">
    <w:name w:val="Body Text 3"/>
    <w:basedOn w:val="Normal"/>
    <w:pPr>
      <w:jc w:val="center"/>
    </w:pPr>
    <w:rPr>
      <w:b/>
    </w:rPr>
  </w:style>
  <w:style w:type="paragraph" w:styleId="BodyTextIndent3">
    <w:name w:val="Body Text Indent 3"/>
    <w:basedOn w:val="Normal"/>
    <w:link w:val="BodyTextIndent3Char"/>
    <w:pPr>
      <w:ind w:left="720"/>
    </w:pPr>
    <w:rPr>
      <w:sz w:val="23"/>
    </w:rPr>
  </w:style>
  <w:style w:type="paragraph" w:styleId="Caption">
    <w:name w:val="caption"/>
    <w:basedOn w:val="Normal"/>
    <w:next w:val="Normal"/>
    <w:qFormat/>
    <w:pPr>
      <w:jc w:val="center"/>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TOC6">
    <w:name w:val="toc 6"/>
    <w:basedOn w:val="Normal"/>
    <w:next w:val="Normal"/>
    <w:autoRedefine/>
    <w:semiHidden/>
    <w:pPr>
      <w:numPr>
        <w:numId w:val="6"/>
      </w:numPr>
      <w:tabs>
        <w:tab w:val="clear" w:pos="360"/>
        <w:tab w:val="num" w:pos="1080"/>
      </w:tabs>
      <w:ind w:left="1080"/>
    </w:p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paragraph" w:customStyle="1" w:styleId="Greentext">
    <w:name w:val="Green text"/>
    <w:basedOn w:val="Normal"/>
    <w:rPr>
      <w:color w:val="006633"/>
      <w:sz w:val="22"/>
      <w:szCs w:val="24"/>
    </w:rPr>
  </w:style>
  <w:style w:type="paragraph" w:customStyle="1" w:styleId="Bullet1">
    <w:name w:val="Bullet 1"/>
    <w:basedOn w:val="Normal"/>
    <w:link w:val="Bullet1CharChar"/>
    <w:pPr>
      <w:numPr>
        <w:numId w:val="26"/>
      </w:numPr>
      <w:spacing w:line="300" w:lineRule="atLeast"/>
    </w:pPr>
    <w:rPr>
      <w:sz w:val="22"/>
      <w:szCs w:val="24"/>
    </w:rPr>
  </w:style>
  <w:style w:type="character" w:customStyle="1" w:styleId="Bullet1CharChar">
    <w:name w:val="Bullet 1 Char Char"/>
    <w:link w:val="Bullet1"/>
    <w:rPr>
      <w:rFonts w:ascii="Arial" w:hAnsi="Arial"/>
      <w:sz w:val="22"/>
      <w:szCs w:val="24"/>
    </w:rPr>
  </w:style>
  <w:style w:type="character" w:styleId="Strong">
    <w:name w:val="Strong"/>
    <w:uiPriority w:val="22"/>
    <w:qFormat/>
    <w:rPr>
      <w:b/>
      <w:bCs/>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ListParagraph">
    <w:name w:val="List Paragraph"/>
    <w:aliases w:val="Bullet Points,Colorful List - Accent 11,Dot pt,F5 List Paragraph,Indicator Text,L,List Paragraph Char Char Char,List Paragraph1,List Paragraph12,List Paragraph2,MAIN CONTENT,No Spacing1,Normal numbered,Numbered Para 1,OBC Bullet"/>
    <w:basedOn w:val="Normal"/>
    <w:link w:val="ListParagraphChar"/>
    <w:uiPriority w:val="34"/>
    <w:qFormat/>
    <w:pPr>
      <w:spacing w:after="200" w:line="276" w:lineRule="auto"/>
      <w:ind w:left="720"/>
    </w:pPr>
    <w:rPr>
      <w:rFonts w:ascii="Calibri" w:hAnsi="Calibri"/>
      <w:sz w:val="22"/>
      <w:szCs w:val="22"/>
      <w:lang w:eastAsia="en-US"/>
    </w:rPr>
  </w:style>
  <w:style w:type="paragraph" w:customStyle="1" w:styleId="Default">
    <w:name w:val="Default"/>
    <w:rsid w:val="00F16405"/>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rsid w:val="00BF0B2F"/>
    <w:rPr>
      <w:rFonts w:ascii="Arial" w:hAnsi="Arial"/>
      <w:sz w:val="24"/>
    </w:rPr>
  </w:style>
  <w:style w:type="numbering" w:customStyle="1" w:styleId="NoList1">
    <w:name w:val="No List1"/>
    <w:next w:val="NoList"/>
    <w:semiHidden/>
    <w:rsid w:val="007B0794"/>
  </w:style>
  <w:style w:type="character" w:customStyle="1" w:styleId="HeaderChar">
    <w:name w:val="Header Char"/>
    <w:link w:val="Header"/>
    <w:rsid w:val="007B0794"/>
    <w:rPr>
      <w:rFonts w:ascii="Arial" w:hAnsi="Arial"/>
      <w:sz w:val="24"/>
    </w:rPr>
  </w:style>
  <w:style w:type="character" w:customStyle="1" w:styleId="BodyTextChar">
    <w:name w:val="Body Text Char"/>
    <w:link w:val="BodyText"/>
    <w:rsid w:val="007B0794"/>
    <w:rPr>
      <w:rFonts w:ascii="Arial" w:hAnsi="Arial"/>
      <w:b/>
      <w:sz w:val="24"/>
    </w:rPr>
  </w:style>
  <w:style w:type="table" w:customStyle="1" w:styleId="TableGrid1">
    <w:name w:val="Table Grid1"/>
    <w:basedOn w:val="TableNormal"/>
    <w:next w:val="TableGrid"/>
    <w:uiPriority w:val="59"/>
    <w:rsid w:val="007B07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7B0794"/>
  </w:style>
  <w:style w:type="numbering" w:customStyle="1" w:styleId="NoList3">
    <w:name w:val="No List3"/>
    <w:next w:val="NoList"/>
    <w:semiHidden/>
    <w:rsid w:val="007B0794"/>
  </w:style>
  <w:style w:type="paragraph" w:customStyle="1" w:styleId="Pa23">
    <w:name w:val="Pa23"/>
    <w:basedOn w:val="Normal"/>
    <w:next w:val="Normal"/>
    <w:uiPriority w:val="99"/>
    <w:rsid w:val="007B0794"/>
    <w:pPr>
      <w:autoSpaceDE w:val="0"/>
      <w:autoSpaceDN w:val="0"/>
      <w:adjustRightInd w:val="0"/>
      <w:spacing w:line="211" w:lineRule="atLeast"/>
    </w:pPr>
    <w:rPr>
      <w:rFonts w:ascii="FS Lola" w:hAnsi="FS Lola"/>
      <w:szCs w:val="24"/>
    </w:rPr>
  </w:style>
  <w:style w:type="character" w:customStyle="1" w:styleId="A9">
    <w:name w:val="A9"/>
    <w:uiPriority w:val="99"/>
    <w:rsid w:val="007B0794"/>
    <w:rPr>
      <w:rFonts w:cs="FS Lola"/>
      <w:color w:val="000000"/>
    </w:rPr>
  </w:style>
  <w:style w:type="paragraph" w:customStyle="1" w:styleId="Pa26">
    <w:name w:val="Pa26"/>
    <w:basedOn w:val="Default"/>
    <w:next w:val="Default"/>
    <w:uiPriority w:val="99"/>
    <w:rsid w:val="007B0794"/>
    <w:pPr>
      <w:spacing w:line="211" w:lineRule="atLeast"/>
    </w:pPr>
    <w:rPr>
      <w:rFonts w:ascii="FS Lola" w:eastAsia="Times New Roman" w:hAnsi="FS Lola" w:cs="Times New Roman"/>
      <w:color w:val="auto"/>
      <w:lang w:eastAsia="en-GB"/>
    </w:rPr>
  </w:style>
  <w:style w:type="character" w:customStyle="1" w:styleId="BalloonTextChar">
    <w:name w:val="Balloon Text Char"/>
    <w:link w:val="BalloonText"/>
    <w:rsid w:val="007B0794"/>
    <w:rPr>
      <w:rFonts w:ascii="Tahoma" w:hAnsi="Tahoma" w:cs="Tahoma"/>
      <w:sz w:val="16"/>
      <w:szCs w:val="16"/>
    </w:rPr>
  </w:style>
  <w:style w:type="character" w:styleId="CommentReference">
    <w:name w:val="annotation reference"/>
    <w:rsid w:val="007B0794"/>
    <w:rPr>
      <w:sz w:val="16"/>
      <w:szCs w:val="16"/>
    </w:rPr>
  </w:style>
  <w:style w:type="paragraph" w:styleId="CommentText">
    <w:name w:val="annotation text"/>
    <w:basedOn w:val="Normal"/>
    <w:link w:val="CommentTextChar"/>
    <w:rsid w:val="007B0794"/>
    <w:rPr>
      <w:rFonts w:ascii="Univers" w:hAnsi="Univers"/>
      <w:sz w:val="20"/>
    </w:rPr>
  </w:style>
  <w:style w:type="character" w:customStyle="1" w:styleId="CommentTextChar">
    <w:name w:val="Comment Text Char"/>
    <w:link w:val="CommentText"/>
    <w:rsid w:val="007B0794"/>
    <w:rPr>
      <w:rFonts w:ascii="Univers" w:hAnsi="Univers"/>
    </w:rPr>
  </w:style>
  <w:style w:type="paragraph" w:styleId="CommentSubject">
    <w:name w:val="annotation subject"/>
    <w:basedOn w:val="CommentText"/>
    <w:next w:val="CommentText"/>
    <w:link w:val="CommentSubjectChar"/>
    <w:rsid w:val="007B0794"/>
    <w:rPr>
      <w:b/>
      <w:bCs/>
    </w:rPr>
  </w:style>
  <w:style w:type="character" w:customStyle="1" w:styleId="CommentSubjectChar">
    <w:name w:val="Comment Subject Char"/>
    <w:link w:val="CommentSubject"/>
    <w:rsid w:val="007B0794"/>
    <w:rPr>
      <w:rFonts w:ascii="Univers" w:hAnsi="Univers"/>
      <w:b/>
      <w:bCs/>
    </w:rPr>
  </w:style>
  <w:style w:type="character" w:styleId="BookTitle">
    <w:name w:val="Book Title"/>
    <w:uiPriority w:val="33"/>
    <w:qFormat/>
    <w:rsid w:val="007B0794"/>
    <w:rPr>
      <w:b/>
      <w:bCs/>
      <w:i/>
      <w:iCs/>
      <w:spacing w:val="5"/>
    </w:rPr>
  </w:style>
  <w:style w:type="character" w:customStyle="1" w:styleId="fontstyle01">
    <w:name w:val="fontstyle01"/>
    <w:rsid w:val="009034CF"/>
    <w:rPr>
      <w:rFonts w:ascii="OpenSans" w:hAnsi="OpenSans" w:hint="default"/>
      <w:b w:val="0"/>
      <w:bCs w:val="0"/>
      <w:i w:val="0"/>
      <w:iCs w:val="0"/>
      <w:color w:val="000000"/>
      <w:sz w:val="28"/>
      <w:szCs w:val="28"/>
    </w:rPr>
  </w:style>
  <w:style w:type="character" w:customStyle="1" w:styleId="fontstyle21">
    <w:name w:val="fontstyle21"/>
    <w:rsid w:val="009034CF"/>
    <w:rPr>
      <w:rFonts w:ascii="SymbolMT" w:hAnsi="SymbolMT" w:hint="default"/>
      <w:b w:val="0"/>
      <w:bCs w:val="0"/>
      <w:i w:val="0"/>
      <w:iCs w:val="0"/>
      <w:color w:val="000000"/>
      <w:sz w:val="28"/>
      <w:szCs w:val="28"/>
    </w:rPr>
  </w:style>
  <w:style w:type="character" w:styleId="UnresolvedMention">
    <w:name w:val="Unresolved Mention"/>
    <w:uiPriority w:val="99"/>
    <w:semiHidden/>
    <w:unhideWhenUsed/>
    <w:rsid w:val="00D52945"/>
    <w:rPr>
      <w:color w:val="605E5C"/>
      <w:shd w:val="clear" w:color="auto" w:fill="E1DFDD"/>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2 Char,List Paragraph2 Char"/>
    <w:link w:val="ListParagraph"/>
    <w:uiPriority w:val="34"/>
    <w:qFormat/>
    <w:locked/>
    <w:rsid w:val="00985159"/>
    <w:rPr>
      <w:rFonts w:ascii="Calibri" w:hAnsi="Calibri"/>
      <w:sz w:val="22"/>
      <w:szCs w:val="22"/>
      <w:lang w:eastAsia="en-US"/>
    </w:rPr>
  </w:style>
  <w:style w:type="paragraph" w:customStyle="1" w:styleId="TableParagraph">
    <w:name w:val="Table Paragraph"/>
    <w:basedOn w:val="Normal"/>
    <w:uiPriority w:val="1"/>
    <w:qFormat/>
    <w:rsid w:val="00C27B28"/>
    <w:pPr>
      <w:autoSpaceDE w:val="0"/>
      <w:autoSpaceDN w:val="0"/>
      <w:adjustRightInd w:val="0"/>
      <w:ind w:left="53"/>
    </w:pPr>
    <w:rPr>
      <w:rFonts w:ascii="Swis721 BT" w:eastAsiaTheme="minorHAnsi" w:hAnsi="Swis721 BT" w:cs="Swis721 BT"/>
      <w:szCs w:val="24"/>
      <w:lang w:eastAsia="en-US"/>
    </w:rPr>
  </w:style>
  <w:style w:type="paragraph" w:customStyle="1" w:styleId="pf0">
    <w:name w:val="pf0"/>
    <w:basedOn w:val="Normal"/>
    <w:rsid w:val="00D219EF"/>
    <w:pPr>
      <w:spacing w:before="100" w:beforeAutospacing="1" w:after="100" w:afterAutospacing="1"/>
    </w:pPr>
    <w:rPr>
      <w:rFonts w:ascii="Times New Roman" w:hAnsi="Times New Roman"/>
      <w:szCs w:val="24"/>
    </w:rPr>
  </w:style>
  <w:style w:type="character" w:customStyle="1" w:styleId="cf01">
    <w:name w:val="cf01"/>
    <w:basedOn w:val="DefaultParagraphFont"/>
    <w:rsid w:val="00D219EF"/>
    <w:rPr>
      <w:rFonts w:ascii="Segoe UI" w:hAnsi="Segoe UI" w:cs="Segoe UI" w:hint="default"/>
      <w:i/>
      <w:iCs/>
      <w:sz w:val="18"/>
      <w:szCs w:val="18"/>
    </w:rPr>
  </w:style>
  <w:style w:type="character" w:customStyle="1" w:styleId="TitleChar">
    <w:name w:val="Title Char"/>
    <w:basedOn w:val="DefaultParagraphFont"/>
    <w:link w:val="Title"/>
    <w:rsid w:val="00985055"/>
    <w:rPr>
      <w:rFonts w:ascii="Arial" w:hAnsi="Arial"/>
      <w:b/>
      <w:sz w:val="24"/>
      <w:u w:val="single"/>
    </w:rPr>
  </w:style>
  <w:style w:type="character" w:customStyle="1" w:styleId="BodyTextIndent3Char">
    <w:name w:val="Body Text Indent 3 Char"/>
    <w:basedOn w:val="DefaultParagraphFont"/>
    <w:link w:val="BodyTextIndent3"/>
    <w:rsid w:val="00985055"/>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0823">
      <w:bodyDiv w:val="1"/>
      <w:marLeft w:val="0"/>
      <w:marRight w:val="0"/>
      <w:marTop w:val="0"/>
      <w:marBottom w:val="0"/>
      <w:divBdr>
        <w:top w:val="none" w:sz="0" w:space="0" w:color="auto"/>
        <w:left w:val="none" w:sz="0" w:space="0" w:color="auto"/>
        <w:bottom w:val="none" w:sz="0" w:space="0" w:color="auto"/>
        <w:right w:val="none" w:sz="0" w:space="0" w:color="auto"/>
      </w:divBdr>
    </w:div>
    <w:div w:id="72439969">
      <w:bodyDiv w:val="1"/>
      <w:marLeft w:val="0"/>
      <w:marRight w:val="0"/>
      <w:marTop w:val="0"/>
      <w:marBottom w:val="0"/>
      <w:divBdr>
        <w:top w:val="none" w:sz="0" w:space="0" w:color="auto"/>
        <w:left w:val="none" w:sz="0" w:space="0" w:color="auto"/>
        <w:bottom w:val="none" w:sz="0" w:space="0" w:color="auto"/>
        <w:right w:val="none" w:sz="0" w:space="0" w:color="auto"/>
      </w:divBdr>
    </w:div>
    <w:div w:id="99447331">
      <w:bodyDiv w:val="1"/>
      <w:marLeft w:val="0"/>
      <w:marRight w:val="0"/>
      <w:marTop w:val="0"/>
      <w:marBottom w:val="0"/>
      <w:divBdr>
        <w:top w:val="none" w:sz="0" w:space="0" w:color="auto"/>
        <w:left w:val="none" w:sz="0" w:space="0" w:color="auto"/>
        <w:bottom w:val="none" w:sz="0" w:space="0" w:color="auto"/>
        <w:right w:val="none" w:sz="0" w:space="0" w:color="auto"/>
      </w:divBdr>
    </w:div>
    <w:div w:id="109711938">
      <w:bodyDiv w:val="1"/>
      <w:marLeft w:val="0"/>
      <w:marRight w:val="0"/>
      <w:marTop w:val="0"/>
      <w:marBottom w:val="0"/>
      <w:divBdr>
        <w:top w:val="none" w:sz="0" w:space="0" w:color="auto"/>
        <w:left w:val="none" w:sz="0" w:space="0" w:color="auto"/>
        <w:bottom w:val="none" w:sz="0" w:space="0" w:color="auto"/>
        <w:right w:val="none" w:sz="0" w:space="0" w:color="auto"/>
      </w:divBdr>
    </w:div>
    <w:div w:id="148979932">
      <w:bodyDiv w:val="1"/>
      <w:marLeft w:val="0"/>
      <w:marRight w:val="0"/>
      <w:marTop w:val="0"/>
      <w:marBottom w:val="0"/>
      <w:divBdr>
        <w:top w:val="none" w:sz="0" w:space="0" w:color="auto"/>
        <w:left w:val="none" w:sz="0" w:space="0" w:color="auto"/>
        <w:bottom w:val="none" w:sz="0" w:space="0" w:color="auto"/>
        <w:right w:val="none" w:sz="0" w:space="0" w:color="auto"/>
      </w:divBdr>
      <w:divsChild>
        <w:div w:id="1319114342">
          <w:marLeft w:val="0"/>
          <w:marRight w:val="0"/>
          <w:marTop w:val="150"/>
          <w:marBottom w:val="150"/>
          <w:divBdr>
            <w:top w:val="none" w:sz="0" w:space="0" w:color="auto"/>
            <w:left w:val="none" w:sz="0" w:space="0" w:color="auto"/>
            <w:bottom w:val="none" w:sz="0" w:space="0" w:color="auto"/>
            <w:right w:val="none" w:sz="0" w:space="0" w:color="auto"/>
          </w:divBdr>
          <w:divsChild>
            <w:div w:id="12281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00192">
      <w:bodyDiv w:val="1"/>
      <w:marLeft w:val="0"/>
      <w:marRight w:val="0"/>
      <w:marTop w:val="0"/>
      <w:marBottom w:val="0"/>
      <w:divBdr>
        <w:top w:val="none" w:sz="0" w:space="0" w:color="auto"/>
        <w:left w:val="none" w:sz="0" w:space="0" w:color="auto"/>
        <w:bottom w:val="none" w:sz="0" w:space="0" w:color="auto"/>
        <w:right w:val="none" w:sz="0" w:space="0" w:color="auto"/>
      </w:divBdr>
    </w:div>
    <w:div w:id="255527370">
      <w:bodyDiv w:val="1"/>
      <w:marLeft w:val="0"/>
      <w:marRight w:val="0"/>
      <w:marTop w:val="0"/>
      <w:marBottom w:val="0"/>
      <w:divBdr>
        <w:top w:val="none" w:sz="0" w:space="0" w:color="auto"/>
        <w:left w:val="none" w:sz="0" w:space="0" w:color="auto"/>
        <w:bottom w:val="none" w:sz="0" w:space="0" w:color="auto"/>
        <w:right w:val="none" w:sz="0" w:space="0" w:color="auto"/>
      </w:divBdr>
    </w:div>
    <w:div w:id="285158111">
      <w:bodyDiv w:val="1"/>
      <w:marLeft w:val="0"/>
      <w:marRight w:val="0"/>
      <w:marTop w:val="0"/>
      <w:marBottom w:val="0"/>
      <w:divBdr>
        <w:top w:val="none" w:sz="0" w:space="0" w:color="auto"/>
        <w:left w:val="none" w:sz="0" w:space="0" w:color="auto"/>
        <w:bottom w:val="none" w:sz="0" w:space="0" w:color="auto"/>
        <w:right w:val="none" w:sz="0" w:space="0" w:color="auto"/>
      </w:divBdr>
    </w:div>
    <w:div w:id="336154837">
      <w:bodyDiv w:val="1"/>
      <w:marLeft w:val="0"/>
      <w:marRight w:val="0"/>
      <w:marTop w:val="0"/>
      <w:marBottom w:val="0"/>
      <w:divBdr>
        <w:top w:val="none" w:sz="0" w:space="0" w:color="auto"/>
        <w:left w:val="none" w:sz="0" w:space="0" w:color="auto"/>
        <w:bottom w:val="none" w:sz="0" w:space="0" w:color="auto"/>
        <w:right w:val="none" w:sz="0" w:space="0" w:color="auto"/>
      </w:divBdr>
      <w:divsChild>
        <w:div w:id="860124764">
          <w:marLeft w:val="0"/>
          <w:marRight w:val="0"/>
          <w:marTop w:val="150"/>
          <w:marBottom w:val="150"/>
          <w:divBdr>
            <w:top w:val="none" w:sz="0" w:space="0" w:color="auto"/>
            <w:left w:val="none" w:sz="0" w:space="0" w:color="auto"/>
            <w:bottom w:val="none" w:sz="0" w:space="0" w:color="auto"/>
            <w:right w:val="none" w:sz="0" w:space="0" w:color="auto"/>
          </w:divBdr>
          <w:divsChild>
            <w:div w:id="10884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6418">
      <w:bodyDiv w:val="1"/>
      <w:marLeft w:val="0"/>
      <w:marRight w:val="0"/>
      <w:marTop w:val="0"/>
      <w:marBottom w:val="0"/>
      <w:divBdr>
        <w:top w:val="none" w:sz="0" w:space="0" w:color="auto"/>
        <w:left w:val="none" w:sz="0" w:space="0" w:color="auto"/>
        <w:bottom w:val="none" w:sz="0" w:space="0" w:color="auto"/>
        <w:right w:val="none" w:sz="0" w:space="0" w:color="auto"/>
      </w:divBdr>
    </w:div>
    <w:div w:id="381366640">
      <w:bodyDiv w:val="1"/>
      <w:marLeft w:val="0"/>
      <w:marRight w:val="0"/>
      <w:marTop w:val="0"/>
      <w:marBottom w:val="0"/>
      <w:divBdr>
        <w:top w:val="none" w:sz="0" w:space="0" w:color="auto"/>
        <w:left w:val="none" w:sz="0" w:space="0" w:color="auto"/>
        <w:bottom w:val="none" w:sz="0" w:space="0" w:color="auto"/>
        <w:right w:val="none" w:sz="0" w:space="0" w:color="auto"/>
      </w:divBdr>
    </w:div>
    <w:div w:id="500849345">
      <w:bodyDiv w:val="1"/>
      <w:marLeft w:val="0"/>
      <w:marRight w:val="0"/>
      <w:marTop w:val="0"/>
      <w:marBottom w:val="0"/>
      <w:divBdr>
        <w:top w:val="none" w:sz="0" w:space="0" w:color="auto"/>
        <w:left w:val="none" w:sz="0" w:space="0" w:color="auto"/>
        <w:bottom w:val="none" w:sz="0" w:space="0" w:color="auto"/>
        <w:right w:val="none" w:sz="0" w:space="0" w:color="auto"/>
      </w:divBdr>
    </w:div>
    <w:div w:id="524713244">
      <w:bodyDiv w:val="1"/>
      <w:marLeft w:val="0"/>
      <w:marRight w:val="0"/>
      <w:marTop w:val="0"/>
      <w:marBottom w:val="0"/>
      <w:divBdr>
        <w:top w:val="none" w:sz="0" w:space="0" w:color="auto"/>
        <w:left w:val="none" w:sz="0" w:space="0" w:color="auto"/>
        <w:bottom w:val="none" w:sz="0" w:space="0" w:color="auto"/>
        <w:right w:val="none" w:sz="0" w:space="0" w:color="auto"/>
      </w:divBdr>
    </w:div>
    <w:div w:id="624193534">
      <w:bodyDiv w:val="1"/>
      <w:marLeft w:val="0"/>
      <w:marRight w:val="0"/>
      <w:marTop w:val="0"/>
      <w:marBottom w:val="0"/>
      <w:divBdr>
        <w:top w:val="none" w:sz="0" w:space="0" w:color="auto"/>
        <w:left w:val="none" w:sz="0" w:space="0" w:color="auto"/>
        <w:bottom w:val="none" w:sz="0" w:space="0" w:color="auto"/>
        <w:right w:val="none" w:sz="0" w:space="0" w:color="auto"/>
      </w:divBdr>
    </w:div>
    <w:div w:id="647515792">
      <w:bodyDiv w:val="1"/>
      <w:marLeft w:val="0"/>
      <w:marRight w:val="0"/>
      <w:marTop w:val="0"/>
      <w:marBottom w:val="0"/>
      <w:divBdr>
        <w:top w:val="none" w:sz="0" w:space="0" w:color="auto"/>
        <w:left w:val="none" w:sz="0" w:space="0" w:color="auto"/>
        <w:bottom w:val="none" w:sz="0" w:space="0" w:color="auto"/>
        <w:right w:val="none" w:sz="0" w:space="0" w:color="auto"/>
      </w:divBdr>
    </w:div>
    <w:div w:id="694885176">
      <w:bodyDiv w:val="1"/>
      <w:marLeft w:val="0"/>
      <w:marRight w:val="0"/>
      <w:marTop w:val="0"/>
      <w:marBottom w:val="0"/>
      <w:divBdr>
        <w:top w:val="none" w:sz="0" w:space="0" w:color="auto"/>
        <w:left w:val="none" w:sz="0" w:space="0" w:color="auto"/>
        <w:bottom w:val="none" w:sz="0" w:space="0" w:color="auto"/>
        <w:right w:val="none" w:sz="0" w:space="0" w:color="auto"/>
      </w:divBdr>
      <w:divsChild>
        <w:div w:id="246155379">
          <w:marLeft w:val="0"/>
          <w:marRight w:val="0"/>
          <w:marTop w:val="150"/>
          <w:marBottom w:val="150"/>
          <w:divBdr>
            <w:top w:val="none" w:sz="0" w:space="0" w:color="auto"/>
            <w:left w:val="none" w:sz="0" w:space="0" w:color="auto"/>
            <w:bottom w:val="none" w:sz="0" w:space="0" w:color="auto"/>
            <w:right w:val="none" w:sz="0" w:space="0" w:color="auto"/>
          </w:divBdr>
          <w:divsChild>
            <w:div w:id="1794472105">
              <w:marLeft w:val="0"/>
              <w:marRight w:val="0"/>
              <w:marTop w:val="0"/>
              <w:marBottom w:val="0"/>
              <w:divBdr>
                <w:top w:val="none" w:sz="0" w:space="0" w:color="auto"/>
                <w:left w:val="none" w:sz="0" w:space="0" w:color="auto"/>
                <w:bottom w:val="none" w:sz="0" w:space="0" w:color="auto"/>
                <w:right w:val="none" w:sz="0" w:space="0" w:color="auto"/>
              </w:divBdr>
            </w:div>
          </w:divsChild>
        </w:div>
        <w:div w:id="538856161">
          <w:marLeft w:val="0"/>
          <w:marRight w:val="0"/>
          <w:marTop w:val="150"/>
          <w:marBottom w:val="150"/>
          <w:divBdr>
            <w:top w:val="none" w:sz="0" w:space="0" w:color="auto"/>
            <w:left w:val="none" w:sz="0" w:space="0" w:color="auto"/>
            <w:bottom w:val="none" w:sz="0" w:space="0" w:color="auto"/>
            <w:right w:val="none" w:sz="0" w:space="0" w:color="auto"/>
          </w:divBdr>
          <w:divsChild>
            <w:div w:id="993603635">
              <w:marLeft w:val="0"/>
              <w:marRight w:val="0"/>
              <w:marTop w:val="0"/>
              <w:marBottom w:val="0"/>
              <w:divBdr>
                <w:top w:val="none" w:sz="0" w:space="0" w:color="auto"/>
                <w:left w:val="none" w:sz="0" w:space="0" w:color="auto"/>
                <w:bottom w:val="none" w:sz="0" w:space="0" w:color="auto"/>
                <w:right w:val="none" w:sz="0" w:space="0" w:color="auto"/>
              </w:divBdr>
            </w:div>
          </w:divsChild>
        </w:div>
        <w:div w:id="1835295822">
          <w:marLeft w:val="0"/>
          <w:marRight w:val="0"/>
          <w:marTop w:val="150"/>
          <w:marBottom w:val="150"/>
          <w:divBdr>
            <w:top w:val="none" w:sz="0" w:space="0" w:color="auto"/>
            <w:left w:val="none" w:sz="0" w:space="0" w:color="auto"/>
            <w:bottom w:val="none" w:sz="0" w:space="0" w:color="auto"/>
            <w:right w:val="none" w:sz="0" w:space="0" w:color="auto"/>
          </w:divBdr>
          <w:divsChild>
            <w:div w:id="1024401743">
              <w:marLeft w:val="0"/>
              <w:marRight w:val="0"/>
              <w:marTop w:val="0"/>
              <w:marBottom w:val="0"/>
              <w:divBdr>
                <w:top w:val="none" w:sz="0" w:space="0" w:color="auto"/>
                <w:left w:val="none" w:sz="0" w:space="0" w:color="auto"/>
                <w:bottom w:val="none" w:sz="0" w:space="0" w:color="auto"/>
                <w:right w:val="none" w:sz="0" w:space="0" w:color="auto"/>
              </w:divBdr>
            </w:div>
          </w:divsChild>
        </w:div>
        <w:div w:id="905141077">
          <w:marLeft w:val="0"/>
          <w:marRight w:val="0"/>
          <w:marTop w:val="150"/>
          <w:marBottom w:val="150"/>
          <w:divBdr>
            <w:top w:val="none" w:sz="0" w:space="0" w:color="auto"/>
            <w:left w:val="none" w:sz="0" w:space="0" w:color="auto"/>
            <w:bottom w:val="none" w:sz="0" w:space="0" w:color="auto"/>
            <w:right w:val="none" w:sz="0" w:space="0" w:color="auto"/>
          </w:divBdr>
          <w:divsChild>
            <w:div w:id="718361384">
              <w:marLeft w:val="0"/>
              <w:marRight w:val="0"/>
              <w:marTop w:val="0"/>
              <w:marBottom w:val="0"/>
              <w:divBdr>
                <w:top w:val="none" w:sz="0" w:space="0" w:color="auto"/>
                <w:left w:val="none" w:sz="0" w:space="0" w:color="auto"/>
                <w:bottom w:val="none" w:sz="0" w:space="0" w:color="auto"/>
                <w:right w:val="none" w:sz="0" w:space="0" w:color="auto"/>
              </w:divBdr>
            </w:div>
          </w:divsChild>
        </w:div>
        <w:div w:id="1370298208">
          <w:marLeft w:val="0"/>
          <w:marRight w:val="0"/>
          <w:marTop w:val="150"/>
          <w:marBottom w:val="150"/>
          <w:divBdr>
            <w:top w:val="none" w:sz="0" w:space="0" w:color="auto"/>
            <w:left w:val="none" w:sz="0" w:space="0" w:color="auto"/>
            <w:bottom w:val="none" w:sz="0" w:space="0" w:color="auto"/>
            <w:right w:val="none" w:sz="0" w:space="0" w:color="auto"/>
          </w:divBdr>
          <w:divsChild>
            <w:div w:id="2098207825">
              <w:marLeft w:val="0"/>
              <w:marRight w:val="0"/>
              <w:marTop w:val="0"/>
              <w:marBottom w:val="0"/>
              <w:divBdr>
                <w:top w:val="none" w:sz="0" w:space="0" w:color="auto"/>
                <w:left w:val="none" w:sz="0" w:space="0" w:color="auto"/>
                <w:bottom w:val="none" w:sz="0" w:space="0" w:color="auto"/>
                <w:right w:val="none" w:sz="0" w:space="0" w:color="auto"/>
              </w:divBdr>
            </w:div>
          </w:divsChild>
        </w:div>
        <w:div w:id="2094354196">
          <w:marLeft w:val="0"/>
          <w:marRight w:val="0"/>
          <w:marTop w:val="150"/>
          <w:marBottom w:val="150"/>
          <w:divBdr>
            <w:top w:val="none" w:sz="0" w:space="0" w:color="auto"/>
            <w:left w:val="none" w:sz="0" w:space="0" w:color="auto"/>
            <w:bottom w:val="none" w:sz="0" w:space="0" w:color="auto"/>
            <w:right w:val="none" w:sz="0" w:space="0" w:color="auto"/>
          </w:divBdr>
          <w:divsChild>
            <w:div w:id="1109660219">
              <w:marLeft w:val="0"/>
              <w:marRight w:val="0"/>
              <w:marTop w:val="0"/>
              <w:marBottom w:val="0"/>
              <w:divBdr>
                <w:top w:val="none" w:sz="0" w:space="0" w:color="auto"/>
                <w:left w:val="none" w:sz="0" w:space="0" w:color="auto"/>
                <w:bottom w:val="none" w:sz="0" w:space="0" w:color="auto"/>
                <w:right w:val="none" w:sz="0" w:space="0" w:color="auto"/>
              </w:divBdr>
            </w:div>
          </w:divsChild>
        </w:div>
        <w:div w:id="1647776010">
          <w:marLeft w:val="0"/>
          <w:marRight w:val="0"/>
          <w:marTop w:val="150"/>
          <w:marBottom w:val="150"/>
          <w:divBdr>
            <w:top w:val="none" w:sz="0" w:space="0" w:color="auto"/>
            <w:left w:val="none" w:sz="0" w:space="0" w:color="auto"/>
            <w:bottom w:val="none" w:sz="0" w:space="0" w:color="auto"/>
            <w:right w:val="none" w:sz="0" w:space="0" w:color="auto"/>
          </w:divBdr>
          <w:divsChild>
            <w:div w:id="1149520400">
              <w:marLeft w:val="0"/>
              <w:marRight w:val="0"/>
              <w:marTop w:val="0"/>
              <w:marBottom w:val="0"/>
              <w:divBdr>
                <w:top w:val="none" w:sz="0" w:space="0" w:color="auto"/>
                <w:left w:val="none" w:sz="0" w:space="0" w:color="auto"/>
                <w:bottom w:val="none" w:sz="0" w:space="0" w:color="auto"/>
                <w:right w:val="none" w:sz="0" w:space="0" w:color="auto"/>
              </w:divBdr>
            </w:div>
          </w:divsChild>
        </w:div>
        <w:div w:id="998770374">
          <w:marLeft w:val="0"/>
          <w:marRight w:val="0"/>
          <w:marTop w:val="150"/>
          <w:marBottom w:val="150"/>
          <w:divBdr>
            <w:top w:val="none" w:sz="0" w:space="0" w:color="auto"/>
            <w:left w:val="none" w:sz="0" w:space="0" w:color="auto"/>
            <w:bottom w:val="none" w:sz="0" w:space="0" w:color="auto"/>
            <w:right w:val="none" w:sz="0" w:space="0" w:color="auto"/>
          </w:divBdr>
          <w:divsChild>
            <w:div w:id="898901226">
              <w:marLeft w:val="0"/>
              <w:marRight w:val="0"/>
              <w:marTop w:val="0"/>
              <w:marBottom w:val="0"/>
              <w:divBdr>
                <w:top w:val="none" w:sz="0" w:space="0" w:color="auto"/>
                <w:left w:val="none" w:sz="0" w:space="0" w:color="auto"/>
                <w:bottom w:val="none" w:sz="0" w:space="0" w:color="auto"/>
                <w:right w:val="none" w:sz="0" w:space="0" w:color="auto"/>
              </w:divBdr>
            </w:div>
          </w:divsChild>
        </w:div>
        <w:div w:id="935944711">
          <w:marLeft w:val="0"/>
          <w:marRight w:val="0"/>
          <w:marTop w:val="150"/>
          <w:marBottom w:val="150"/>
          <w:divBdr>
            <w:top w:val="none" w:sz="0" w:space="0" w:color="auto"/>
            <w:left w:val="none" w:sz="0" w:space="0" w:color="auto"/>
            <w:bottom w:val="none" w:sz="0" w:space="0" w:color="auto"/>
            <w:right w:val="none" w:sz="0" w:space="0" w:color="auto"/>
          </w:divBdr>
          <w:divsChild>
            <w:div w:id="1359237204">
              <w:marLeft w:val="0"/>
              <w:marRight w:val="0"/>
              <w:marTop w:val="0"/>
              <w:marBottom w:val="0"/>
              <w:divBdr>
                <w:top w:val="none" w:sz="0" w:space="0" w:color="auto"/>
                <w:left w:val="none" w:sz="0" w:space="0" w:color="auto"/>
                <w:bottom w:val="none" w:sz="0" w:space="0" w:color="auto"/>
                <w:right w:val="none" w:sz="0" w:space="0" w:color="auto"/>
              </w:divBdr>
            </w:div>
          </w:divsChild>
        </w:div>
        <w:div w:id="1729648872">
          <w:marLeft w:val="0"/>
          <w:marRight w:val="0"/>
          <w:marTop w:val="150"/>
          <w:marBottom w:val="150"/>
          <w:divBdr>
            <w:top w:val="none" w:sz="0" w:space="0" w:color="auto"/>
            <w:left w:val="none" w:sz="0" w:space="0" w:color="auto"/>
            <w:bottom w:val="none" w:sz="0" w:space="0" w:color="auto"/>
            <w:right w:val="none" w:sz="0" w:space="0" w:color="auto"/>
          </w:divBdr>
          <w:divsChild>
            <w:div w:id="1250042555">
              <w:marLeft w:val="0"/>
              <w:marRight w:val="0"/>
              <w:marTop w:val="0"/>
              <w:marBottom w:val="0"/>
              <w:divBdr>
                <w:top w:val="none" w:sz="0" w:space="0" w:color="auto"/>
                <w:left w:val="none" w:sz="0" w:space="0" w:color="auto"/>
                <w:bottom w:val="none" w:sz="0" w:space="0" w:color="auto"/>
                <w:right w:val="none" w:sz="0" w:space="0" w:color="auto"/>
              </w:divBdr>
            </w:div>
          </w:divsChild>
        </w:div>
        <w:div w:id="1024744946">
          <w:marLeft w:val="0"/>
          <w:marRight w:val="0"/>
          <w:marTop w:val="150"/>
          <w:marBottom w:val="150"/>
          <w:divBdr>
            <w:top w:val="none" w:sz="0" w:space="0" w:color="auto"/>
            <w:left w:val="none" w:sz="0" w:space="0" w:color="auto"/>
            <w:bottom w:val="none" w:sz="0" w:space="0" w:color="auto"/>
            <w:right w:val="none" w:sz="0" w:space="0" w:color="auto"/>
          </w:divBdr>
          <w:divsChild>
            <w:div w:id="1475028462">
              <w:marLeft w:val="0"/>
              <w:marRight w:val="0"/>
              <w:marTop w:val="0"/>
              <w:marBottom w:val="0"/>
              <w:divBdr>
                <w:top w:val="none" w:sz="0" w:space="0" w:color="auto"/>
                <w:left w:val="none" w:sz="0" w:space="0" w:color="auto"/>
                <w:bottom w:val="none" w:sz="0" w:space="0" w:color="auto"/>
                <w:right w:val="none" w:sz="0" w:space="0" w:color="auto"/>
              </w:divBdr>
            </w:div>
          </w:divsChild>
        </w:div>
        <w:div w:id="1525753328">
          <w:marLeft w:val="0"/>
          <w:marRight w:val="0"/>
          <w:marTop w:val="150"/>
          <w:marBottom w:val="150"/>
          <w:divBdr>
            <w:top w:val="none" w:sz="0" w:space="0" w:color="auto"/>
            <w:left w:val="none" w:sz="0" w:space="0" w:color="auto"/>
            <w:bottom w:val="none" w:sz="0" w:space="0" w:color="auto"/>
            <w:right w:val="none" w:sz="0" w:space="0" w:color="auto"/>
          </w:divBdr>
          <w:divsChild>
            <w:div w:id="520356419">
              <w:marLeft w:val="0"/>
              <w:marRight w:val="0"/>
              <w:marTop w:val="0"/>
              <w:marBottom w:val="0"/>
              <w:divBdr>
                <w:top w:val="none" w:sz="0" w:space="0" w:color="auto"/>
                <w:left w:val="none" w:sz="0" w:space="0" w:color="auto"/>
                <w:bottom w:val="none" w:sz="0" w:space="0" w:color="auto"/>
                <w:right w:val="none" w:sz="0" w:space="0" w:color="auto"/>
              </w:divBdr>
            </w:div>
          </w:divsChild>
        </w:div>
        <w:div w:id="1368217416">
          <w:marLeft w:val="0"/>
          <w:marRight w:val="0"/>
          <w:marTop w:val="150"/>
          <w:marBottom w:val="150"/>
          <w:divBdr>
            <w:top w:val="none" w:sz="0" w:space="0" w:color="auto"/>
            <w:left w:val="none" w:sz="0" w:space="0" w:color="auto"/>
            <w:bottom w:val="none" w:sz="0" w:space="0" w:color="auto"/>
            <w:right w:val="none" w:sz="0" w:space="0" w:color="auto"/>
          </w:divBdr>
          <w:divsChild>
            <w:div w:id="119958604">
              <w:marLeft w:val="0"/>
              <w:marRight w:val="0"/>
              <w:marTop w:val="0"/>
              <w:marBottom w:val="0"/>
              <w:divBdr>
                <w:top w:val="none" w:sz="0" w:space="0" w:color="auto"/>
                <w:left w:val="none" w:sz="0" w:space="0" w:color="auto"/>
                <w:bottom w:val="none" w:sz="0" w:space="0" w:color="auto"/>
                <w:right w:val="none" w:sz="0" w:space="0" w:color="auto"/>
              </w:divBdr>
            </w:div>
          </w:divsChild>
        </w:div>
        <w:div w:id="1422528255">
          <w:marLeft w:val="0"/>
          <w:marRight w:val="0"/>
          <w:marTop w:val="150"/>
          <w:marBottom w:val="150"/>
          <w:divBdr>
            <w:top w:val="none" w:sz="0" w:space="0" w:color="auto"/>
            <w:left w:val="none" w:sz="0" w:space="0" w:color="auto"/>
            <w:bottom w:val="none" w:sz="0" w:space="0" w:color="auto"/>
            <w:right w:val="none" w:sz="0" w:space="0" w:color="auto"/>
          </w:divBdr>
          <w:divsChild>
            <w:div w:id="380205337">
              <w:marLeft w:val="0"/>
              <w:marRight w:val="0"/>
              <w:marTop w:val="0"/>
              <w:marBottom w:val="0"/>
              <w:divBdr>
                <w:top w:val="none" w:sz="0" w:space="0" w:color="auto"/>
                <w:left w:val="none" w:sz="0" w:space="0" w:color="auto"/>
                <w:bottom w:val="none" w:sz="0" w:space="0" w:color="auto"/>
                <w:right w:val="none" w:sz="0" w:space="0" w:color="auto"/>
              </w:divBdr>
            </w:div>
          </w:divsChild>
        </w:div>
        <w:div w:id="347224041">
          <w:marLeft w:val="0"/>
          <w:marRight w:val="0"/>
          <w:marTop w:val="150"/>
          <w:marBottom w:val="150"/>
          <w:divBdr>
            <w:top w:val="none" w:sz="0" w:space="0" w:color="auto"/>
            <w:left w:val="none" w:sz="0" w:space="0" w:color="auto"/>
            <w:bottom w:val="none" w:sz="0" w:space="0" w:color="auto"/>
            <w:right w:val="none" w:sz="0" w:space="0" w:color="auto"/>
          </w:divBdr>
          <w:divsChild>
            <w:div w:id="1309480565">
              <w:marLeft w:val="0"/>
              <w:marRight w:val="0"/>
              <w:marTop w:val="0"/>
              <w:marBottom w:val="0"/>
              <w:divBdr>
                <w:top w:val="none" w:sz="0" w:space="0" w:color="auto"/>
                <w:left w:val="none" w:sz="0" w:space="0" w:color="auto"/>
                <w:bottom w:val="none" w:sz="0" w:space="0" w:color="auto"/>
                <w:right w:val="none" w:sz="0" w:space="0" w:color="auto"/>
              </w:divBdr>
            </w:div>
          </w:divsChild>
        </w:div>
        <w:div w:id="1941717168">
          <w:marLeft w:val="0"/>
          <w:marRight w:val="0"/>
          <w:marTop w:val="150"/>
          <w:marBottom w:val="150"/>
          <w:divBdr>
            <w:top w:val="none" w:sz="0" w:space="0" w:color="auto"/>
            <w:left w:val="none" w:sz="0" w:space="0" w:color="auto"/>
            <w:bottom w:val="none" w:sz="0" w:space="0" w:color="auto"/>
            <w:right w:val="none" w:sz="0" w:space="0" w:color="auto"/>
          </w:divBdr>
          <w:divsChild>
            <w:div w:id="2143689132">
              <w:marLeft w:val="0"/>
              <w:marRight w:val="0"/>
              <w:marTop w:val="0"/>
              <w:marBottom w:val="0"/>
              <w:divBdr>
                <w:top w:val="none" w:sz="0" w:space="0" w:color="auto"/>
                <w:left w:val="none" w:sz="0" w:space="0" w:color="auto"/>
                <w:bottom w:val="none" w:sz="0" w:space="0" w:color="auto"/>
                <w:right w:val="none" w:sz="0" w:space="0" w:color="auto"/>
              </w:divBdr>
            </w:div>
          </w:divsChild>
        </w:div>
        <w:div w:id="1985503536">
          <w:marLeft w:val="0"/>
          <w:marRight w:val="0"/>
          <w:marTop w:val="150"/>
          <w:marBottom w:val="150"/>
          <w:divBdr>
            <w:top w:val="none" w:sz="0" w:space="0" w:color="auto"/>
            <w:left w:val="none" w:sz="0" w:space="0" w:color="auto"/>
            <w:bottom w:val="none" w:sz="0" w:space="0" w:color="auto"/>
            <w:right w:val="none" w:sz="0" w:space="0" w:color="auto"/>
          </w:divBdr>
          <w:divsChild>
            <w:div w:id="755827235">
              <w:marLeft w:val="0"/>
              <w:marRight w:val="0"/>
              <w:marTop w:val="0"/>
              <w:marBottom w:val="0"/>
              <w:divBdr>
                <w:top w:val="none" w:sz="0" w:space="0" w:color="auto"/>
                <w:left w:val="none" w:sz="0" w:space="0" w:color="auto"/>
                <w:bottom w:val="none" w:sz="0" w:space="0" w:color="auto"/>
                <w:right w:val="none" w:sz="0" w:space="0" w:color="auto"/>
              </w:divBdr>
            </w:div>
          </w:divsChild>
        </w:div>
        <w:div w:id="1870559735">
          <w:marLeft w:val="0"/>
          <w:marRight w:val="0"/>
          <w:marTop w:val="150"/>
          <w:marBottom w:val="150"/>
          <w:divBdr>
            <w:top w:val="none" w:sz="0" w:space="0" w:color="auto"/>
            <w:left w:val="none" w:sz="0" w:space="0" w:color="auto"/>
            <w:bottom w:val="none" w:sz="0" w:space="0" w:color="auto"/>
            <w:right w:val="none" w:sz="0" w:space="0" w:color="auto"/>
          </w:divBdr>
          <w:divsChild>
            <w:div w:id="501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34">
      <w:bodyDiv w:val="1"/>
      <w:marLeft w:val="0"/>
      <w:marRight w:val="0"/>
      <w:marTop w:val="0"/>
      <w:marBottom w:val="0"/>
      <w:divBdr>
        <w:top w:val="none" w:sz="0" w:space="0" w:color="auto"/>
        <w:left w:val="none" w:sz="0" w:space="0" w:color="auto"/>
        <w:bottom w:val="none" w:sz="0" w:space="0" w:color="auto"/>
        <w:right w:val="none" w:sz="0" w:space="0" w:color="auto"/>
      </w:divBdr>
    </w:div>
    <w:div w:id="823933424">
      <w:bodyDiv w:val="1"/>
      <w:marLeft w:val="0"/>
      <w:marRight w:val="0"/>
      <w:marTop w:val="0"/>
      <w:marBottom w:val="0"/>
      <w:divBdr>
        <w:top w:val="none" w:sz="0" w:space="0" w:color="auto"/>
        <w:left w:val="none" w:sz="0" w:space="0" w:color="auto"/>
        <w:bottom w:val="none" w:sz="0" w:space="0" w:color="auto"/>
        <w:right w:val="none" w:sz="0" w:space="0" w:color="auto"/>
      </w:divBdr>
    </w:div>
    <w:div w:id="861865680">
      <w:bodyDiv w:val="1"/>
      <w:marLeft w:val="0"/>
      <w:marRight w:val="0"/>
      <w:marTop w:val="0"/>
      <w:marBottom w:val="0"/>
      <w:divBdr>
        <w:top w:val="none" w:sz="0" w:space="0" w:color="auto"/>
        <w:left w:val="none" w:sz="0" w:space="0" w:color="auto"/>
        <w:bottom w:val="none" w:sz="0" w:space="0" w:color="auto"/>
        <w:right w:val="none" w:sz="0" w:space="0" w:color="auto"/>
      </w:divBdr>
    </w:div>
    <w:div w:id="1018510314">
      <w:bodyDiv w:val="1"/>
      <w:marLeft w:val="0"/>
      <w:marRight w:val="0"/>
      <w:marTop w:val="0"/>
      <w:marBottom w:val="0"/>
      <w:divBdr>
        <w:top w:val="none" w:sz="0" w:space="0" w:color="auto"/>
        <w:left w:val="none" w:sz="0" w:space="0" w:color="auto"/>
        <w:bottom w:val="none" w:sz="0" w:space="0" w:color="auto"/>
        <w:right w:val="none" w:sz="0" w:space="0" w:color="auto"/>
      </w:divBdr>
    </w:div>
    <w:div w:id="1117870473">
      <w:bodyDiv w:val="1"/>
      <w:marLeft w:val="0"/>
      <w:marRight w:val="0"/>
      <w:marTop w:val="0"/>
      <w:marBottom w:val="0"/>
      <w:divBdr>
        <w:top w:val="none" w:sz="0" w:space="0" w:color="auto"/>
        <w:left w:val="none" w:sz="0" w:space="0" w:color="auto"/>
        <w:bottom w:val="none" w:sz="0" w:space="0" w:color="auto"/>
        <w:right w:val="none" w:sz="0" w:space="0" w:color="auto"/>
      </w:divBdr>
    </w:div>
    <w:div w:id="1264921862">
      <w:bodyDiv w:val="1"/>
      <w:marLeft w:val="0"/>
      <w:marRight w:val="0"/>
      <w:marTop w:val="0"/>
      <w:marBottom w:val="0"/>
      <w:divBdr>
        <w:top w:val="none" w:sz="0" w:space="0" w:color="auto"/>
        <w:left w:val="none" w:sz="0" w:space="0" w:color="auto"/>
        <w:bottom w:val="none" w:sz="0" w:space="0" w:color="auto"/>
        <w:right w:val="none" w:sz="0" w:space="0" w:color="auto"/>
      </w:divBdr>
    </w:div>
    <w:div w:id="1297682517">
      <w:bodyDiv w:val="1"/>
      <w:marLeft w:val="0"/>
      <w:marRight w:val="0"/>
      <w:marTop w:val="0"/>
      <w:marBottom w:val="0"/>
      <w:divBdr>
        <w:top w:val="none" w:sz="0" w:space="0" w:color="auto"/>
        <w:left w:val="none" w:sz="0" w:space="0" w:color="auto"/>
        <w:bottom w:val="none" w:sz="0" w:space="0" w:color="auto"/>
        <w:right w:val="none" w:sz="0" w:space="0" w:color="auto"/>
      </w:divBdr>
      <w:divsChild>
        <w:div w:id="1258366942">
          <w:marLeft w:val="0"/>
          <w:marRight w:val="0"/>
          <w:marTop w:val="150"/>
          <w:marBottom w:val="150"/>
          <w:divBdr>
            <w:top w:val="none" w:sz="0" w:space="0" w:color="auto"/>
            <w:left w:val="none" w:sz="0" w:space="0" w:color="auto"/>
            <w:bottom w:val="none" w:sz="0" w:space="0" w:color="auto"/>
            <w:right w:val="none" w:sz="0" w:space="0" w:color="auto"/>
          </w:divBdr>
          <w:divsChild>
            <w:div w:id="11596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485">
      <w:bodyDiv w:val="1"/>
      <w:marLeft w:val="0"/>
      <w:marRight w:val="0"/>
      <w:marTop w:val="0"/>
      <w:marBottom w:val="0"/>
      <w:divBdr>
        <w:top w:val="none" w:sz="0" w:space="0" w:color="auto"/>
        <w:left w:val="none" w:sz="0" w:space="0" w:color="auto"/>
        <w:bottom w:val="none" w:sz="0" w:space="0" w:color="auto"/>
        <w:right w:val="none" w:sz="0" w:space="0" w:color="auto"/>
      </w:divBdr>
    </w:div>
    <w:div w:id="1383823710">
      <w:bodyDiv w:val="1"/>
      <w:marLeft w:val="0"/>
      <w:marRight w:val="0"/>
      <w:marTop w:val="0"/>
      <w:marBottom w:val="0"/>
      <w:divBdr>
        <w:top w:val="none" w:sz="0" w:space="0" w:color="auto"/>
        <w:left w:val="none" w:sz="0" w:space="0" w:color="auto"/>
        <w:bottom w:val="none" w:sz="0" w:space="0" w:color="auto"/>
        <w:right w:val="none" w:sz="0" w:space="0" w:color="auto"/>
      </w:divBdr>
    </w:div>
    <w:div w:id="1495099866">
      <w:bodyDiv w:val="1"/>
      <w:marLeft w:val="0"/>
      <w:marRight w:val="0"/>
      <w:marTop w:val="0"/>
      <w:marBottom w:val="0"/>
      <w:divBdr>
        <w:top w:val="none" w:sz="0" w:space="0" w:color="auto"/>
        <w:left w:val="none" w:sz="0" w:space="0" w:color="auto"/>
        <w:bottom w:val="none" w:sz="0" w:space="0" w:color="auto"/>
        <w:right w:val="none" w:sz="0" w:space="0" w:color="auto"/>
      </w:divBdr>
      <w:divsChild>
        <w:div w:id="1358847236">
          <w:marLeft w:val="0"/>
          <w:marRight w:val="0"/>
          <w:marTop w:val="150"/>
          <w:marBottom w:val="150"/>
          <w:divBdr>
            <w:top w:val="none" w:sz="0" w:space="0" w:color="auto"/>
            <w:left w:val="none" w:sz="0" w:space="0" w:color="auto"/>
            <w:bottom w:val="none" w:sz="0" w:space="0" w:color="auto"/>
            <w:right w:val="none" w:sz="0" w:space="0" w:color="auto"/>
          </w:divBdr>
          <w:divsChild>
            <w:div w:id="19173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6584">
      <w:bodyDiv w:val="1"/>
      <w:marLeft w:val="0"/>
      <w:marRight w:val="0"/>
      <w:marTop w:val="0"/>
      <w:marBottom w:val="0"/>
      <w:divBdr>
        <w:top w:val="none" w:sz="0" w:space="0" w:color="auto"/>
        <w:left w:val="none" w:sz="0" w:space="0" w:color="auto"/>
        <w:bottom w:val="none" w:sz="0" w:space="0" w:color="auto"/>
        <w:right w:val="none" w:sz="0" w:space="0" w:color="auto"/>
      </w:divBdr>
    </w:div>
    <w:div w:id="1615944501">
      <w:bodyDiv w:val="1"/>
      <w:marLeft w:val="0"/>
      <w:marRight w:val="0"/>
      <w:marTop w:val="0"/>
      <w:marBottom w:val="0"/>
      <w:divBdr>
        <w:top w:val="none" w:sz="0" w:space="0" w:color="auto"/>
        <w:left w:val="none" w:sz="0" w:space="0" w:color="auto"/>
        <w:bottom w:val="none" w:sz="0" w:space="0" w:color="auto"/>
        <w:right w:val="none" w:sz="0" w:space="0" w:color="auto"/>
      </w:divBdr>
    </w:div>
    <w:div w:id="1643071934">
      <w:bodyDiv w:val="1"/>
      <w:marLeft w:val="0"/>
      <w:marRight w:val="0"/>
      <w:marTop w:val="0"/>
      <w:marBottom w:val="0"/>
      <w:divBdr>
        <w:top w:val="none" w:sz="0" w:space="0" w:color="auto"/>
        <w:left w:val="none" w:sz="0" w:space="0" w:color="auto"/>
        <w:bottom w:val="none" w:sz="0" w:space="0" w:color="auto"/>
        <w:right w:val="none" w:sz="0" w:space="0" w:color="auto"/>
      </w:divBdr>
    </w:div>
    <w:div w:id="1677033338">
      <w:bodyDiv w:val="1"/>
      <w:marLeft w:val="0"/>
      <w:marRight w:val="0"/>
      <w:marTop w:val="0"/>
      <w:marBottom w:val="0"/>
      <w:divBdr>
        <w:top w:val="none" w:sz="0" w:space="0" w:color="auto"/>
        <w:left w:val="none" w:sz="0" w:space="0" w:color="auto"/>
        <w:bottom w:val="none" w:sz="0" w:space="0" w:color="auto"/>
        <w:right w:val="none" w:sz="0" w:space="0" w:color="auto"/>
      </w:divBdr>
      <w:divsChild>
        <w:div w:id="1492482563">
          <w:marLeft w:val="0"/>
          <w:marRight w:val="0"/>
          <w:marTop w:val="150"/>
          <w:marBottom w:val="150"/>
          <w:divBdr>
            <w:top w:val="none" w:sz="0" w:space="0" w:color="auto"/>
            <w:left w:val="none" w:sz="0" w:space="0" w:color="auto"/>
            <w:bottom w:val="none" w:sz="0" w:space="0" w:color="auto"/>
            <w:right w:val="none" w:sz="0" w:space="0" w:color="auto"/>
          </w:divBdr>
          <w:divsChild>
            <w:div w:id="1183016442">
              <w:marLeft w:val="0"/>
              <w:marRight w:val="0"/>
              <w:marTop w:val="0"/>
              <w:marBottom w:val="0"/>
              <w:divBdr>
                <w:top w:val="none" w:sz="0" w:space="0" w:color="auto"/>
                <w:left w:val="none" w:sz="0" w:space="0" w:color="auto"/>
                <w:bottom w:val="none" w:sz="0" w:space="0" w:color="auto"/>
                <w:right w:val="none" w:sz="0" w:space="0" w:color="auto"/>
              </w:divBdr>
            </w:div>
          </w:divsChild>
        </w:div>
        <w:div w:id="599878575">
          <w:marLeft w:val="0"/>
          <w:marRight w:val="0"/>
          <w:marTop w:val="150"/>
          <w:marBottom w:val="150"/>
          <w:divBdr>
            <w:top w:val="none" w:sz="0" w:space="0" w:color="auto"/>
            <w:left w:val="none" w:sz="0" w:space="0" w:color="auto"/>
            <w:bottom w:val="none" w:sz="0" w:space="0" w:color="auto"/>
            <w:right w:val="none" w:sz="0" w:space="0" w:color="auto"/>
          </w:divBdr>
          <w:divsChild>
            <w:div w:id="2129468449">
              <w:marLeft w:val="0"/>
              <w:marRight w:val="0"/>
              <w:marTop w:val="0"/>
              <w:marBottom w:val="0"/>
              <w:divBdr>
                <w:top w:val="none" w:sz="0" w:space="0" w:color="auto"/>
                <w:left w:val="none" w:sz="0" w:space="0" w:color="auto"/>
                <w:bottom w:val="none" w:sz="0" w:space="0" w:color="auto"/>
                <w:right w:val="none" w:sz="0" w:space="0" w:color="auto"/>
              </w:divBdr>
            </w:div>
          </w:divsChild>
        </w:div>
        <w:div w:id="423262305">
          <w:marLeft w:val="0"/>
          <w:marRight w:val="0"/>
          <w:marTop w:val="150"/>
          <w:marBottom w:val="150"/>
          <w:divBdr>
            <w:top w:val="none" w:sz="0" w:space="0" w:color="auto"/>
            <w:left w:val="none" w:sz="0" w:space="0" w:color="auto"/>
            <w:bottom w:val="none" w:sz="0" w:space="0" w:color="auto"/>
            <w:right w:val="none" w:sz="0" w:space="0" w:color="auto"/>
          </w:divBdr>
          <w:divsChild>
            <w:div w:id="874731593">
              <w:marLeft w:val="0"/>
              <w:marRight w:val="0"/>
              <w:marTop w:val="0"/>
              <w:marBottom w:val="0"/>
              <w:divBdr>
                <w:top w:val="none" w:sz="0" w:space="0" w:color="auto"/>
                <w:left w:val="none" w:sz="0" w:space="0" w:color="auto"/>
                <w:bottom w:val="none" w:sz="0" w:space="0" w:color="auto"/>
                <w:right w:val="none" w:sz="0" w:space="0" w:color="auto"/>
              </w:divBdr>
            </w:div>
          </w:divsChild>
        </w:div>
        <w:div w:id="979268677">
          <w:marLeft w:val="0"/>
          <w:marRight w:val="0"/>
          <w:marTop w:val="150"/>
          <w:marBottom w:val="150"/>
          <w:divBdr>
            <w:top w:val="none" w:sz="0" w:space="0" w:color="auto"/>
            <w:left w:val="none" w:sz="0" w:space="0" w:color="auto"/>
            <w:bottom w:val="none" w:sz="0" w:space="0" w:color="auto"/>
            <w:right w:val="none" w:sz="0" w:space="0" w:color="auto"/>
          </w:divBdr>
          <w:divsChild>
            <w:div w:id="1026558087">
              <w:marLeft w:val="0"/>
              <w:marRight w:val="0"/>
              <w:marTop w:val="0"/>
              <w:marBottom w:val="0"/>
              <w:divBdr>
                <w:top w:val="none" w:sz="0" w:space="0" w:color="auto"/>
                <w:left w:val="none" w:sz="0" w:space="0" w:color="auto"/>
                <w:bottom w:val="none" w:sz="0" w:space="0" w:color="auto"/>
                <w:right w:val="none" w:sz="0" w:space="0" w:color="auto"/>
              </w:divBdr>
            </w:div>
          </w:divsChild>
        </w:div>
        <w:div w:id="290979938">
          <w:marLeft w:val="0"/>
          <w:marRight w:val="0"/>
          <w:marTop w:val="150"/>
          <w:marBottom w:val="150"/>
          <w:divBdr>
            <w:top w:val="none" w:sz="0" w:space="0" w:color="auto"/>
            <w:left w:val="none" w:sz="0" w:space="0" w:color="auto"/>
            <w:bottom w:val="none" w:sz="0" w:space="0" w:color="auto"/>
            <w:right w:val="none" w:sz="0" w:space="0" w:color="auto"/>
          </w:divBdr>
          <w:divsChild>
            <w:div w:id="776221827">
              <w:marLeft w:val="0"/>
              <w:marRight w:val="0"/>
              <w:marTop w:val="0"/>
              <w:marBottom w:val="0"/>
              <w:divBdr>
                <w:top w:val="none" w:sz="0" w:space="0" w:color="auto"/>
                <w:left w:val="none" w:sz="0" w:space="0" w:color="auto"/>
                <w:bottom w:val="none" w:sz="0" w:space="0" w:color="auto"/>
                <w:right w:val="none" w:sz="0" w:space="0" w:color="auto"/>
              </w:divBdr>
            </w:div>
          </w:divsChild>
        </w:div>
        <w:div w:id="1296333458">
          <w:marLeft w:val="0"/>
          <w:marRight w:val="0"/>
          <w:marTop w:val="150"/>
          <w:marBottom w:val="150"/>
          <w:divBdr>
            <w:top w:val="none" w:sz="0" w:space="0" w:color="auto"/>
            <w:left w:val="none" w:sz="0" w:space="0" w:color="auto"/>
            <w:bottom w:val="none" w:sz="0" w:space="0" w:color="auto"/>
            <w:right w:val="none" w:sz="0" w:space="0" w:color="auto"/>
          </w:divBdr>
          <w:divsChild>
            <w:div w:id="840119668">
              <w:marLeft w:val="0"/>
              <w:marRight w:val="0"/>
              <w:marTop w:val="0"/>
              <w:marBottom w:val="0"/>
              <w:divBdr>
                <w:top w:val="none" w:sz="0" w:space="0" w:color="auto"/>
                <w:left w:val="none" w:sz="0" w:space="0" w:color="auto"/>
                <w:bottom w:val="none" w:sz="0" w:space="0" w:color="auto"/>
                <w:right w:val="none" w:sz="0" w:space="0" w:color="auto"/>
              </w:divBdr>
            </w:div>
          </w:divsChild>
        </w:div>
        <w:div w:id="2128771419">
          <w:marLeft w:val="0"/>
          <w:marRight w:val="0"/>
          <w:marTop w:val="150"/>
          <w:marBottom w:val="150"/>
          <w:divBdr>
            <w:top w:val="none" w:sz="0" w:space="0" w:color="auto"/>
            <w:left w:val="none" w:sz="0" w:space="0" w:color="auto"/>
            <w:bottom w:val="none" w:sz="0" w:space="0" w:color="auto"/>
            <w:right w:val="none" w:sz="0" w:space="0" w:color="auto"/>
          </w:divBdr>
          <w:divsChild>
            <w:div w:id="1439252641">
              <w:marLeft w:val="0"/>
              <w:marRight w:val="0"/>
              <w:marTop w:val="0"/>
              <w:marBottom w:val="0"/>
              <w:divBdr>
                <w:top w:val="none" w:sz="0" w:space="0" w:color="auto"/>
                <w:left w:val="none" w:sz="0" w:space="0" w:color="auto"/>
                <w:bottom w:val="none" w:sz="0" w:space="0" w:color="auto"/>
                <w:right w:val="none" w:sz="0" w:space="0" w:color="auto"/>
              </w:divBdr>
            </w:div>
          </w:divsChild>
        </w:div>
        <w:div w:id="1448160984">
          <w:marLeft w:val="0"/>
          <w:marRight w:val="0"/>
          <w:marTop w:val="150"/>
          <w:marBottom w:val="150"/>
          <w:divBdr>
            <w:top w:val="none" w:sz="0" w:space="0" w:color="auto"/>
            <w:left w:val="none" w:sz="0" w:space="0" w:color="auto"/>
            <w:bottom w:val="none" w:sz="0" w:space="0" w:color="auto"/>
            <w:right w:val="none" w:sz="0" w:space="0" w:color="auto"/>
          </w:divBdr>
          <w:divsChild>
            <w:div w:id="1286815507">
              <w:marLeft w:val="0"/>
              <w:marRight w:val="0"/>
              <w:marTop w:val="0"/>
              <w:marBottom w:val="0"/>
              <w:divBdr>
                <w:top w:val="none" w:sz="0" w:space="0" w:color="auto"/>
                <w:left w:val="none" w:sz="0" w:space="0" w:color="auto"/>
                <w:bottom w:val="none" w:sz="0" w:space="0" w:color="auto"/>
                <w:right w:val="none" w:sz="0" w:space="0" w:color="auto"/>
              </w:divBdr>
            </w:div>
          </w:divsChild>
        </w:div>
        <w:div w:id="408121018">
          <w:marLeft w:val="0"/>
          <w:marRight w:val="0"/>
          <w:marTop w:val="150"/>
          <w:marBottom w:val="150"/>
          <w:divBdr>
            <w:top w:val="none" w:sz="0" w:space="0" w:color="auto"/>
            <w:left w:val="none" w:sz="0" w:space="0" w:color="auto"/>
            <w:bottom w:val="none" w:sz="0" w:space="0" w:color="auto"/>
            <w:right w:val="none" w:sz="0" w:space="0" w:color="auto"/>
          </w:divBdr>
          <w:divsChild>
            <w:div w:id="513493588">
              <w:marLeft w:val="0"/>
              <w:marRight w:val="0"/>
              <w:marTop w:val="0"/>
              <w:marBottom w:val="0"/>
              <w:divBdr>
                <w:top w:val="none" w:sz="0" w:space="0" w:color="auto"/>
                <w:left w:val="none" w:sz="0" w:space="0" w:color="auto"/>
                <w:bottom w:val="none" w:sz="0" w:space="0" w:color="auto"/>
                <w:right w:val="none" w:sz="0" w:space="0" w:color="auto"/>
              </w:divBdr>
            </w:div>
          </w:divsChild>
        </w:div>
        <w:div w:id="599148535">
          <w:marLeft w:val="0"/>
          <w:marRight w:val="0"/>
          <w:marTop w:val="150"/>
          <w:marBottom w:val="150"/>
          <w:divBdr>
            <w:top w:val="none" w:sz="0" w:space="0" w:color="auto"/>
            <w:left w:val="none" w:sz="0" w:space="0" w:color="auto"/>
            <w:bottom w:val="none" w:sz="0" w:space="0" w:color="auto"/>
            <w:right w:val="none" w:sz="0" w:space="0" w:color="auto"/>
          </w:divBdr>
          <w:divsChild>
            <w:div w:id="235824860">
              <w:marLeft w:val="0"/>
              <w:marRight w:val="0"/>
              <w:marTop w:val="0"/>
              <w:marBottom w:val="0"/>
              <w:divBdr>
                <w:top w:val="none" w:sz="0" w:space="0" w:color="auto"/>
                <w:left w:val="none" w:sz="0" w:space="0" w:color="auto"/>
                <w:bottom w:val="none" w:sz="0" w:space="0" w:color="auto"/>
                <w:right w:val="none" w:sz="0" w:space="0" w:color="auto"/>
              </w:divBdr>
            </w:div>
          </w:divsChild>
        </w:div>
        <w:div w:id="248119387">
          <w:marLeft w:val="0"/>
          <w:marRight w:val="0"/>
          <w:marTop w:val="150"/>
          <w:marBottom w:val="150"/>
          <w:divBdr>
            <w:top w:val="none" w:sz="0" w:space="0" w:color="auto"/>
            <w:left w:val="none" w:sz="0" w:space="0" w:color="auto"/>
            <w:bottom w:val="none" w:sz="0" w:space="0" w:color="auto"/>
            <w:right w:val="none" w:sz="0" w:space="0" w:color="auto"/>
          </w:divBdr>
          <w:divsChild>
            <w:div w:id="1880631506">
              <w:marLeft w:val="0"/>
              <w:marRight w:val="0"/>
              <w:marTop w:val="0"/>
              <w:marBottom w:val="0"/>
              <w:divBdr>
                <w:top w:val="none" w:sz="0" w:space="0" w:color="auto"/>
                <w:left w:val="none" w:sz="0" w:space="0" w:color="auto"/>
                <w:bottom w:val="none" w:sz="0" w:space="0" w:color="auto"/>
                <w:right w:val="none" w:sz="0" w:space="0" w:color="auto"/>
              </w:divBdr>
            </w:div>
          </w:divsChild>
        </w:div>
        <w:div w:id="833494268">
          <w:marLeft w:val="0"/>
          <w:marRight w:val="0"/>
          <w:marTop w:val="150"/>
          <w:marBottom w:val="150"/>
          <w:divBdr>
            <w:top w:val="none" w:sz="0" w:space="0" w:color="auto"/>
            <w:left w:val="none" w:sz="0" w:space="0" w:color="auto"/>
            <w:bottom w:val="none" w:sz="0" w:space="0" w:color="auto"/>
            <w:right w:val="none" w:sz="0" w:space="0" w:color="auto"/>
          </w:divBdr>
          <w:divsChild>
            <w:div w:id="906494450">
              <w:marLeft w:val="0"/>
              <w:marRight w:val="0"/>
              <w:marTop w:val="0"/>
              <w:marBottom w:val="0"/>
              <w:divBdr>
                <w:top w:val="none" w:sz="0" w:space="0" w:color="auto"/>
                <w:left w:val="none" w:sz="0" w:space="0" w:color="auto"/>
                <w:bottom w:val="none" w:sz="0" w:space="0" w:color="auto"/>
                <w:right w:val="none" w:sz="0" w:space="0" w:color="auto"/>
              </w:divBdr>
            </w:div>
          </w:divsChild>
        </w:div>
        <w:div w:id="610356299">
          <w:marLeft w:val="0"/>
          <w:marRight w:val="0"/>
          <w:marTop w:val="150"/>
          <w:marBottom w:val="150"/>
          <w:divBdr>
            <w:top w:val="none" w:sz="0" w:space="0" w:color="auto"/>
            <w:left w:val="none" w:sz="0" w:space="0" w:color="auto"/>
            <w:bottom w:val="none" w:sz="0" w:space="0" w:color="auto"/>
            <w:right w:val="none" w:sz="0" w:space="0" w:color="auto"/>
          </w:divBdr>
          <w:divsChild>
            <w:div w:id="268709225">
              <w:marLeft w:val="0"/>
              <w:marRight w:val="0"/>
              <w:marTop w:val="0"/>
              <w:marBottom w:val="0"/>
              <w:divBdr>
                <w:top w:val="none" w:sz="0" w:space="0" w:color="auto"/>
                <w:left w:val="none" w:sz="0" w:space="0" w:color="auto"/>
                <w:bottom w:val="none" w:sz="0" w:space="0" w:color="auto"/>
                <w:right w:val="none" w:sz="0" w:space="0" w:color="auto"/>
              </w:divBdr>
            </w:div>
          </w:divsChild>
        </w:div>
        <w:div w:id="1696809169">
          <w:marLeft w:val="0"/>
          <w:marRight w:val="0"/>
          <w:marTop w:val="150"/>
          <w:marBottom w:val="150"/>
          <w:divBdr>
            <w:top w:val="none" w:sz="0" w:space="0" w:color="auto"/>
            <w:left w:val="none" w:sz="0" w:space="0" w:color="auto"/>
            <w:bottom w:val="none" w:sz="0" w:space="0" w:color="auto"/>
            <w:right w:val="none" w:sz="0" w:space="0" w:color="auto"/>
          </w:divBdr>
          <w:divsChild>
            <w:div w:id="108476936">
              <w:marLeft w:val="0"/>
              <w:marRight w:val="0"/>
              <w:marTop w:val="0"/>
              <w:marBottom w:val="0"/>
              <w:divBdr>
                <w:top w:val="none" w:sz="0" w:space="0" w:color="auto"/>
                <w:left w:val="none" w:sz="0" w:space="0" w:color="auto"/>
                <w:bottom w:val="none" w:sz="0" w:space="0" w:color="auto"/>
                <w:right w:val="none" w:sz="0" w:space="0" w:color="auto"/>
              </w:divBdr>
            </w:div>
          </w:divsChild>
        </w:div>
        <w:div w:id="1598365605">
          <w:marLeft w:val="0"/>
          <w:marRight w:val="0"/>
          <w:marTop w:val="150"/>
          <w:marBottom w:val="150"/>
          <w:divBdr>
            <w:top w:val="none" w:sz="0" w:space="0" w:color="auto"/>
            <w:left w:val="none" w:sz="0" w:space="0" w:color="auto"/>
            <w:bottom w:val="none" w:sz="0" w:space="0" w:color="auto"/>
            <w:right w:val="none" w:sz="0" w:space="0" w:color="auto"/>
          </w:divBdr>
          <w:divsChild>
            <w:div w:id="520513152">
              <w:marLeft w:val="0"/>
              <w:marRight w:val="0"/>
              <w:marTop w:val="0"/>
              <w:marBottom w:val="0"/>
              <w:divBdr>
                <w:top w:val="none" w:sz="0" w:space="0" w:color="auto"/>
                <w:left w:val="none" w:sz="0" w:space="0" w:color="auto"/>
                <w:bottom w:val="none" w:sz="0" w:space="0" w:color="auto"/>
                <w:right w:val="none" w:sz="0" w:space="0" w:color="auto"/>
              </w:divBdr>
            </w:div>
          </w:divsChild>
        </w:div>
        <w:div w:id="966543043">
          <w:marLeft w:val="0"/>
          <w:marRight w:val="0"/>
          <w:marTop w:val="150"/>
          <w:marBottom w:val="150"/>
          <w:divBdr>
            <w:top w:val="none" w:sz="0" w:space="0" w:color="auto"/>
            <w:left w:val="none" w:sz="0" w:space="0" w:color="auto"/>
            <w:bottom w:val="none" w:sz="0" w:space="0" w:color="auto"/>
            <w:right w:val="none" w:sz="0" w:space="0" w:color="auto"/>
          </w:divBdr>
          <w:divsChild>
            <w:div w:id="246621555">
              <w:marLeft w:val="0"/>
              <w:marRight w:val="0"/>
              <w:marTop w:val="0"/>
              <w:marBottom w:val="0"/>
              <w:divBdr>
                <w:top w:val="none" w:sz="0" w:space="0" w:color="auto"/>
                <w:left w:val="none" w:sz="0" w:space="0" w:color="auto"/>
                <w:bottom w:val="none" w:sz="0" w:space="0" w:color="auto"/>
                <w:right w:val="none" w:sz="0" w:space="0" w:color="auto"/>
              </w:divBdr>
            </w:div>
          </w:divsChild>
        </w:div>
        <w:div w:id="391778428">
          <w:marLeft w:val="0"/>
          <w:marRight w:val="0"/>
          <w:marTop w:val="150"/>
          <w:marBottom w:val="150"/>
          <w:divBdr>
            <w:top w:val="none" w:sz="0" w:space="0" w:color="auto"/>
            <w:left w:val="none" w:sz="0" w:space="0" w:color="auto"/>
            <w:bottom w:val="none" w:sz="0" w:space="0" w:color="auto"/>
            <w:right w:val="none" w:sz="0" w:space="0" w:color="auto"/>
          </w:divBdr>
          <w:divsChild>
            <w:div w:id="1343048263">
              <w:marLeft w:val="0"/>
              <w:marRight w:val="0"/>
              <w:marTop w:val="0"/>
              <w:marBottom w:val="0"/>
              <w:divBdr>
                <w:top w:val="none" w:sz="0" w:space="0" w:color="auto"/>
                <w:left w:val="none" w:sz="0" w:space="0" w:color="auto"/>
                <w:bottom w:val="none" w:sz="0" w:space="0" w:color="auto"/>
                <w:right w:val="none" w:sz="0" w:space="0" w:color="auto"/>
              </w:divBdr>
            </w:div>
          </w:divsChild>
        </w:div>
        <w:div w:id="1410883236">
          <w:marLeft w:val="0"/>
          <w:marRight w:val="0"/>
          <w:marTop w:val="150"/>
          <w:marBottom w:val="150"/>
          <w:divBdr>
            <w:top w:val="none" w:sz="0" w:space="0" w:color="auto"/>
            <w:left w:val="none" w:sz="0" w:space="0" w:color="auto"/>
            <w:bottom w:val="none" w:sz="0" w:space="0" w:color="auto"/>
            <w:right w:val="none" w:sz="0" w:space="0" w:color="auto"/>
          </w:divBdr>
          <w:divsChild>
            <w:div w:id="457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7060">
      <w:bodyDiv w:val="1"/>
      <w:marLeft w:val="0"/>
      <w:marRight w:val="0"/>
      <w:marTop w:val="0"/>
      <w:marBottom w:val="0"/>
      <w:divBdr>
        <w:top w:val="none" w:sz="0" w:space="0" w:color="auto"/>
        <w:left w:val="none" w:sz="0" w:space="0" w:color="auto"/>
        <w:bottom w:val="none" w:sz="0" w:space="0" w:color="auto"/>
        <w:right w:val="none" w:sz="0" w:space="0" w:color="auto"/>
      </w:divBdr>
    </w:div>
    <w:div w:id="1715500885">
      <w:bodyDiv w:val="1"/>
      <w:marLeft w:val="0"/>
      <w:marRight w:val="0"/>
      <w:marTop w:val="0"/>
      <w:marBottom w:val="0"/>
      <w:divBdr>
        <w:top w:val="none" w:sz="0" w:space="0" w:color="auto"/>
        <w:left w:val="none" w:sz="0" w:space="0" w:color="auto"/>
        <w:bottom w:val="none" w:sz="0" w:space="0" w:color="auto"/>
        <w:right w:val="none" w:sz="0" w:space="0" w:color="auto"/>
      </w:divBdr>
    </w:div>
    <w:div w:id="1757677567">
      <w:bodyDiv w:val="1"/>
      <w:marLeft w:val="0"/>
      <w:marRight w:val="0"/>
      <w:marTop w:val="0"/>
      <w:marBottom w:val="0"/>
      <w:divBdr>
        <w:top w:val="none" w:sz="0" w:space="0" w:color="auto"/>
        <w:left w:val="none" w:sz="0" w:space="0" w:color="auto"/>
        <w:bottom w:val="none" w:sz="0" w:space="0" w:color="auto"/>
        <w:right w:val="none" w:sz="0" w:space="0" w:color="auto"/>
      </w:divBdr>
    </w:div>
    <w:div w:id="1792743597">
      <w:bodyDiv w:val="1"/>
      <w:marLeft w:val="0"/>
      <w:marRight w:val="0"/>
      <w:marTop w:val="0"/>
      <w:marBottom w:val="0"/>
      <w:divBdr>
        <w:top w:val="none" w:sz="0" w:space="0" w:color="auto"/>
        <w:left w:val="none" w:sz="0" w:space="0" w:color="auto"/>
        <w:bottom w:val="none" w:sz="0" w:space="0" w:color="auto"/>
        <w:right w:val="none" w:sz="0" w:space="0" w:color="auto"/>
      </w:divBdr>
    </w:div>
    <w:div w:id="1878858506">
      <w:bodyDiv w:val="1"/>
      <w:marLeft w:val="0"/>
      <w:marRight w:val="0"/>
      <w:marTop w:val="0"/>
      <w:marBottom w:val="0"/>
      <w:divBdr>
        <w:top w:val="none" w:sz="0" w:space="0" w:color="auto"/>
        <w:left w:val="none" w:sz="0" w:space="0" w:color="auto"/>
        <w:bottom w:val="none" w:sz="0" w:space="0" w:color="auto"/>
        <w:right w:val="none" w:sz="0" w:space="0" w:color="auto"/>
      </w:divBdr>
    </w:div>
    <w:div w:id="1923248869">
      <w:bodyDiv w:val="1"/>
      <w:marLeft w:val="0"/>
      <w:marRight w:val="0"/>
      <w:marTop w:val="0"/>
      <w:marBottom w:val="0"/>
      <w:divBdr>
        <w:top w:val="none" w:sz="0" w:space="0" w:color="auto"/>
        <w:left w:val="none" w:sz="0" w:space="0" w:color="auto"/>
        <w:bottom w:val="none" w:sz="0" w:space="0" w:color="auto"/>
        <w:right w:val="none" w:sz="0" w:space="0" w:color="auto"/>
      </w:divBdr>
    </w:div>
    <w:div w:id="1940601564">
      <w:bodyDiv w:val="1"/>
      <w:marLeft w:val="0"/>
      <w:marRight w:val="0"/>
      <w:marTop w:val="0"/>
      <w:marBottom w:val="0"/>
      <w:divBdr>
        <w:top w:val="none" w:sz="0" w:space="0" w:color="auto"/>
        <w:left w:val="none" w:sz="0" w:space="0" w:color="auto"/>
        <w:bottom w:val="none" w:sz="0" w:space="0" w:color="auto"/>
        <w:right w:val="none" w:sz="0" w:space="0" w:color="auto"/>
      </w:divBdr>
    </w:div>
    <w:div w:id="1997420838">
      <w:bodyDiv w:val="1"/>
      <w:marLeft w:val="0"/>
      <w:marRight w:val="0"/>
      <w:marTop w:val="0"/>
      <w:marBottom w:val="0"/>
      <w:divBdr>
        <w:top w:val="none" w:sz="0" w:space="0" w:color="auto"/>
        <w:left w:val="none" w:sz="0" w:space="0" w:color="auto"/>
        <w:bottom w:val="none" w:sz="0" w:space="0" w:color="auto"/>
        <w:right w:val="none" w:sz="0" w:space="0" w:color="auto"/>
      </w:divBdr>
    </w:div>
    <w:div w:id="2012753295">
      <w:bodyDiv w:val="1"/>
      <w:marLeft w:val="0"/>
      <w:marRight w:val="0"/>
      <w:marTop w:val="0"/>
      <w:marBottom w:val="0"/>
      <w:divBdr>
        <w:top w:val="none" w:sz="0" w:space="0" w:color="auto"/>
        <w:left w:val="none" w:sz="0" w:space="0" w:color="auto"/>
        <w:bottom w:val="none" w:sz="0" w:space="0" w:color="auto"/>
        <w:right w:val="none" w:sz="0" w:space="0" w:color="auto"/>
      </w:divBdr>
    </w:div>
    <w:div w:id="2030179940">
      <w:bodyDiv w:val="1"/>
      <w:marLeft w:val="0"/>
      <w:marRight w:val="0"/>
      <w:marTop w:val="0"/>
      <w:marBottom w:val="0"/>
      <w:divBdr>
        <w:top w:val="none" w:sz="0" w:space="0" w:color="auto"/>
        <w:left w:val="none" w:sz="0" w:space="0" w:color="auto"/>
        <w:bottom w:val="none" w:sz="0" w:space="0" w:color="auto"/>
        <w:right w:val="none" w:sz="0" w:space="0" w:color="auto"/>
      </w:divBdr>
    </w:div>
    <w:div w:id="21457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file:///\\cbc.local\departments\Directorate%20of%20Resources\Accountancy\Final%20Accounts\2025-26\Statement%20Tables%2025-26\Notes%20to%20the%20Accounts%20Spreadsheet%2025-26.xlsx!29%20Leases!R4C2:R10C4" TargetMode="External"/><Relationship Id="rId21" Type="http://schemas.openxmlformats.org/officeDocument/2006/relationships/image" Target="media/image8.emf"/><Relationship Id="rId42" Type="http://schemas.openxmlformats.org/officeDocument/2006/relationships/image" Target="media/image18.emf"/><Relationship Id="rId63" Type="http://schemas.openxmlformats.org/officeDocument/2006/relationships/oleObject" Target="file:///\\cbc.local\departments\Directorate%20of%20Resources\Accountancy\Final%20Accounts\2025-26\Statement%20Tables%2025-26\Notes%20to%20the%20Accounts%20Spreadsheet%2025-26.xlsx!16%20Pensions%20(2)!R31C2:R44C4" TargetMode="External"/><Relationship Id="rId84" Type="http://schemas.openxmlformats.org/officeDocument/2006/relationships/oleObject" Target="file:///\\cbc.local\departments\Directorate%20of%20Resources\Accountancy\Final%20Accounts\2025-26\Statement%20Tables%2025-26\Notes%20to%20the%20Accounts%20Spreadsheet%2025-26.xlsx!20%20PPE!R30C2:R54C10" TargetMode="External"/><Relationship Id="rId138" Type="http://schemas.openxmlformats.org/officeDocument/2006/relationships/oleObject" Target="file:///\\cbc.local\departments\Directorate%20of%20Resources\Accountancy\Final%20Accounts\2025-26\Statement%20Tables%2025-26\Copy%20of%20Notes%20to%20the%20Accounts%20Spreadsheet%2025-26%20v2.xlsx!37%20Fair%20Value!R2C2:R8C6" TargetMode="External"/><Relationship Id="rId159" Type="http://schemas.openxmlformats.org/officeDocument/2006/relationships/image" Target="media/image75.emf"/><Relationship Id="rId170" Type="http://schemas.openxmlformats.org/officeDocument/2006/relationships/oleObject" Target="file:///\\cbc.local\departments\Directorate%20of%20Resources\Accountancy\Final%20Accounts\2025-26\Statement%20Tables%2025-26\Copy%20of%20Notes%20to%20the%20Accounts%20Spreadsheet%2025-26%20v2.xlsx!45%20Col%20Fund%20AA!R2C2:R6C4" TargetMode="External"/><Relationship Id="rId191" Type="http://schemas.openxmlformats.org/officeDocument/2006/relationships/image" Target="media/image91.emf"/><Relationship Id="rId205" Type="http://schemas.openxmlformats.org/officeDocument/2006/relationships/image" Target="media/image98.emf"/><Relationship Id="rId107" Type="http://schemas.openxmlformats.org/officeDocument/2006/relationships/oleObject" Target="file:///\\cbc.local\departments\Directorate%20of%20Resources\Accountancy\Final%20Accounts\2025-26\Statement%20Tables%2025-26\Notes%20to%20the%20Accounts%20Spreadsheet%2025-26.xlsx!25%20Investment%20(2)!R12C2:R18C5" TargetMode="External"/><Relationship Id="rId11" Type="http://schemas.openxmlformats.org/officeDocument/2006/relationships/footer" Target="footer2.xml"/><Relationship Id="rId32" Type="http://schemas.openxmlformats.org/officeDocument/2006/relationships/image" Target="media/image13.emf"/><Relationship Id="rId53" Type="http://schemas.openxmlformats.org/officeDocument/2006/relationships/oleObject" Target="file:///\\cbc.local\departments\Directorate%20of%20Resources\Accountancy\Final%20Accounts\2025-26\Statement%20Tables%2025-26\Notes%20to%20the%20Accounts%20Spreadsheet%2025-26.xlsx!15%20Remuneration%20(3)!R2C2:R10C8" TargetMode="External"/><Relationship Id="rId74" Type="http://schemas.openxmlformats.org/officeDocument/2006/relationships/oleObject" Target="file:///\\cbc.local\departments\Directorate%20of%20Resources\Accountancy\Final%20Accounts\2025-26\Statement%20Tables%2025-26\Notes%20to%20the%20Accounts%20Spreadsheet%2025-26.xlsx!18%20Grants!R2C2:R14C4" TargetMode="External"/><Relationship Id="rId128" Type="http://schemas.openxmlformats.org/officeDocument/2006/relationships/oleObject" Target="file:///\\cbc.local\departments\Directorate%20of%20Resources\Accountancy\Final%20Accounts\2025-26\Statement%20Tables%2025-26\Copy%20of%20Notes%20to%20the%20Accounts%20Spreadsheet%2025-26%20v2.xlsx!32%20Held%20for%20Sale!R2C2:R20C6" TargetMode="External"/><Relationship Id="rId149" Type="http://schemas.openxmlformats.org/officeDocument/2006/relationships/image" Target="media/image70.emf"/><Relationship Id="rId5" Type="http://schemas.openxmlformats.org/officeDocument/2006/relationships/webSettings" Target="webSettings.xml"/><Relationship Id="rId90" Type="http://schemas.openxmlformats.org/officeDocument/2006/relationships/oleObject" Target="file:///\\cbc.local\departments\Directorate%20of%20Resources\Accountancy\Final%20Accounts\2025-26\Statement%20Tables%2025-26\Notes%20to%20the%20Accounts%20Spreadsheet%2025-26.xlsx!21%20Surplus%20(2)!R2C2:R11C4" TargetMode="External"/><Relationship Id="rId95" Type="http://schemas.openxmlformats.org/officeDocument/2006/relationships/hyperlink" Target="http://www.chesterfieldarttrail.co.uk" TargetMode="External"/><Relationship Id="rId160" Type="http://schemas.openxmlformats.org/officeDocument/2006/relationships/oleObject" Target="file:///\\cbc.local\departments\Directorate%20of%20Resources\Accountancy\Final%20Accounts\2025-26\Statement%20Tables%2025-26\Notes%20to%20the%20Accounts%20Spreadsheet%2025-26.xlsx!40%20Unusable%20Res!R1C2:R11C4" TargetMode="External"/><Relationship Id="rId165" Type="http://schemas.openxmlformats.org/officeDocument/2006/relationships/image" Target="media/image78.emf"/><Relationship Id="rId181" Type="http://schemas.openxmlformats.org/officeDocument/2006/relationships/image" Target="media/image86.emf"/><Relationship Id="rId186" Type="http://schemas.openxmlformats.org/officeDocument/2006/relationships/oleObject" Target="file:///\\cbc.local\departments\Directorate%20of%20Resources\Accountancy\Final%20Accounts\2025-26\Statement%20Tables%2025-26\Copy%20of%20Notes%20to%20the%20Accounts%20Spreadsheet%2025-26%20v2.xlsx!53%20Crem%20(2)!R2C2:R6C6" TargetMode="External"/><Relationship Id="rId216" Type="http://schemas.openxmlformats.org/officeDocument/2006/relationships/oleObject" Target="file:///\\cbc.local\departments\Directorate%20of%20Resources\Accountancy\Final%20Accounts\2025-26\Statement%20Tables%2025-26\Collection%20Fund%20&amp;%20Notes%2025-26.xlsx!4%20B%20Rates%20Surplus!R2C2:R9C4" TargetMode="External"/><Relationship Id="rId211" Type="http://schemas.openxmlformats.org/officeDocument/2006/relationships/image" Target="media/image100.emf"/><Relationship Id="rId22" Type="http://schemas.openxmlformats.org/officeDocument/2006/relationships/oleObject" Target="file:///\\cbc.local\departments\Directorate%20of%20Resources\Accountancy\Final%20Accounts\2025-26\Statement%20Tables%2025-26\Core%20Statements%2025-26.xlsx!Bal%20Sheet!R2C2:R44C5" TargetMode="External"/><Relationship Id="rId27" Type="http://schemas.openxmlformats.org/officeDocument/2006/relationships/oleObject" Target="file:///\\cbc.local\departments\Directorate%20of%20Resources\Accountancy\Final%20Accounts\2025-26\Statement%20Tables%2025-26\Notes%20to%20the%20Accounts%20Spreadsheet%2025-26.xlsx!7%20EFA!R2C2:R26C8" TargetMode="External"/><Relationship Id="rId43" Type="http://schemas.openxmlformats.org/officeDocument/2006/relationships/oleObject" Target="file:///\\cbc.local\departments\Directorate%20of%20Resources\Accountancy\Final%20Accounts\2025-26\Statement%20Tables%2025-26\Notes%20to%20the%20Accounts%20Spreadsheet%2025-26.xlsx!13%20Fin%20&amp;%20Inv%20Exp!R2C2:R11C4" TargetMode="External"/><Relationship Id="rId48" Type="http://schemas.openxmlformats.org/officeDocument/2006/relationships/image" Target="media/image21.emf"/><Relationship Id="rId64" Type="http://schemas.openxmlformats.org/officeDocument/2006/relationships/image" Target="media/image29.emf"/><Relationship Id="rId69" Type="http://schemas.openxmlformats.org/officeDocument/2006/relationships/oleObject" Target="file:///\\cbc.local\departments\Directorate%20of%20Resources\Accountancy\Final%20Accounts\2025-26\Statement%20Tables%2025-26\Notes%20to%20the%20Accounts%20Spreadsheet%2025-26.xlsx!16%20Pensions%20(4)!R19C2:R24C4" TargetMode="External"/><Relationship Id="rId113" Type="http://schemas.openxmlformats.org/officeDocument/2006/relationships/oleObject" Target="file:///\\cbc.local\departments\Directorate%20of%20Resources\Accountancy\Final%20Accounts\2025-26\Statement%20Tables%2025-26\Notes%20to%20the%20Accounts%20Spreadsheet%2025-26.xlsx!26%20Valuations!R2C2:R12C10" TargetMode="External"/><Relationship Id="rId118" Type="http://schemas.openxmlformats.org/officeDocument/2006/relationships/image" Target="media/image55.emf"/><Relationship Id="rId134" Type="http://schemas.openxmlformats.org/officeDocument/2006/relationships/oleObject" Target="file:///\\cbc.local\departments\Directorate%20of%20Resources\Accountancy\Final%20Accounts\2025-26\Statement%20Tables%2025-26\Notes%20to%20the%20Accounts%20Spreadsheet%2025-26.xlsx!35%20Fin%20Inst!R1C2:R24C10" TargetMode="External"/><Relationship Id="rId139" Type="http://schemas.openxmlformats.org/officeDocument/2006/relationships/image" Target="media/image65.emf"/><Relationship Id="rId80" Type="http://schemas.openxmlformats.org/officeDocument/2006/relationships/oleObject" Target="file:///\\cbc.local\departments\Directorate%20of%20Resources\Accountancy\Final%20Accounts\2025-26\Statement%20Tables%2025-26\Notes%20to%20the%20Accounts%20Spreadsheet%2025-26.xlsx!19%20Audit!R2C2:R7C4" TargetMode="External"/><Relationship Id="rId85" Type="http://schemas.openxmlformats.org/officeDocument/2006/relationships/image" Target="media/image39.emf"/><Relationship Id="rId150" Type="http://schemas.openxmlformats.org/officeDocument/2006/relationships/oleObject" Target="file:///\\cbc.local\departments\Directorate%20of%20Resources\Accountancy\Final%20Accounts\2025-26\Statement%20Tables%2025-26\Notes%20to%20the%20Accounts%20Spreadsheet%2025-26.xlsx!38%20Liquidity!R2C2:R15C4" TargetMode="External"/><Relationship Id="rId155" Type="http://schemas.openxmlformats.org/officeDocument/2006/relationships/image" Target="media/image73.emf"/><Relationship Id="rId171" Type="http://schemas.openxmlformats.org/officeDocument/2006/relationships/image" Target="media/image81.emf"/><Relationship Id="rId176" Type="http://schemas.openxmlformats.org/officeDocument/2006/relationships/oleObject" Target="file:///\\cbc.local\departments\Directorate%20of%20Resources\Accountancy\Final%20Accounts\2025-26\Statement%20Tables%2025-26\Notes%20to%20the%20Accounts%20Spreadsheet%2025-26.xlsx!48%20C%20Flow%20Non%20Cash!R2C2:R7C4" TargetMode="External"/><Relationship Id="rId192" Type="http://schemas.openxmlformats.org/officeDocument/2006/relationships/oleObject" Target="file:///\\cbc.local\departments\Directorate%20of%20Resources\Accountancy\Final%20Accounts\2025-26\Statement%20Tables%2025-26\HRA%20&amp;%20Notes%20Spreadsheet%2025-26.xlsx!HRA%20Movement!R2C2:R10C4" TargetMode="External"/><Relationship Id="rId197" Type="http://schemas.openxmlformats.org/officeDocument/2006/relationships/image" Target="media/image94.emf"/><Relationship Id="rId206" Type="http://schemas.openxmlformats.org/officeDocument/2006/relationships/oleObject" Target="file:///\\cbc.local\departments\Directorate%20of%20Resources\Accountancy\Final%20Accounts\2025-26\Statement%20Tables%2025-26\HRA%20&amp;%20Notes%20Spreadsheet%2025-26.xlsx!9%20Adjustments!R2C2:R13C4" TargetMode="External"/><Relationship Id="rId201" Type="http://schemas.openxmlformats.org/officeDocument/2006/relationships/image" Target="media/image96.emf"/><Relationship Id="rId222" Type="http://schemas.openxmlformats.org/officeDocument/2006/relationships/theme" Target="theme/theme1.xml"/><Relationship Id="rId12" Type="http://schemas.openxmlformats.org/officeDocument/2006/relationships/footer" Target="footer3.xml"/><Relationship Id="rId17" Type="http://schemas.openxmlformats.org/officeDocument/2006/relationships/image" Target="media/image6.emf"/><Relationship Id="rId33" Type="http://schemas.openxmlformats.org/officeDocument/2006/relationships/oleObject" Target="file:///\\cbc.local\departments\Directorate%20of%20Resources\Accountancy\Final%20Accounts\2025-26\Statement%20Tables%2025-26\Notes%20to%20the%20Accounts%20Spreadsheet%2025-26.xlsx!9%20Exp%20&amp;%20Inc%20Analysis!R2C2:R25C4" TargetMode="External"/><Relationship Id="rId38" Type="http://schemas.openxmlformats.org/officeDocument/2006/relationships/image" Target="media/image16.emf"/><Relationship Id="rId59" Type="http://schemas.openxmlformats.org/officeDocument/2006/relationships/oleObject" Target="file:///\\cbc.local\departments\Directorate%20of%20Resources\Accountancy\Final%20Accounts\2025-26\Statement%20Tables%2025-26\Notes%20to%20the%20Accounts%20Spreadsheet%2025-26.xlsx!16%20Pensions%20(2)!R4C2:R9C4" TargetMode="External"/><Relationship Id="rId103" Type="http://schemas.openxmlformats.org/officeDocument/2006/relationships/oleObject" Target="file:///\\cbc.local\departments\Directorate%20of%20Resources\Accountancy\Final%20Accounts\2025-26\Statement%20Tables%2025-26\Notes%20to%20the%20Accounts%20Spreadsheet%2025-26.xlsx!25%20Investment!R9C2:R17C4" TargetMode="External"/><Relationship Id="rId108" Type="http://schemas.openxmlformats.org/officeDocument/2006/relationships/image" Target="media/image50.emf"/><Relationship Id="rId124" Type="http://schemas.openxmlformats.org/officeDocument/2006/relationships/image" Target="media/image58.emf"/><Relationship Id="rId129" Type="http://schemas.openxmlformats.org/officeDocument/2006/relationships/image" Target="media/image60.emf"/><Relationship Id="rId54" Type="http://schemas.openxmlformats.org/officeDocument/2006/relationships/image" Target="media/image24.emf"/><Relationship Id="rId70" Type="http://schemas.openxmlformats.org/officeDocument/2006/relationships/image" Target="media/image32.emf"/><Relationship Id="rId75" Type="http://schemas.openxmlformats.org/officeDocument/2006/relationships/image" Target="media/image34.emf"/><Relationship Id="rId91" Type="http://schemas.openxmlformats.org/officeDocument/2006/relationships/image" Target="media/image42.emf"/><Relationship Id="rId96" Type="http://schemas.openxmlformats.org/officeDocument/2006/relationships/image" Target="media/image44.emf"/><Relationship Id="rId140" Type="http://schemas.openxmlformats.org/officeDocument/2006/relationships/oleObject" Target="file:///\\cbc.local\departments\Directorate%20of%20Resources\Accountancy\Final%20Accounts\2025-26\Statement%20Tables%2025-26\Copy%20of%20Notes%20to%20the%20Accounts%20Spreadsheet%2025-26%20v2.xlsx!37%20Fair%20Value%20(2)!R2C2:R5C6" TargetMode="External"/><Relationship Id="rId145" Type="http://schemas.openxmlformats.org/officeDocument/2006/relationships/image" Target="media/image68.emf"/><Relationship Id="rId161" Type="http://schemas.openxmlformats.org/officeDocument/2006/relationships/image" Target="media/image76.emf"/><Relationship Id="rId166" Type="http://schemas.openxmlformats.org/officeDocument/2006/relationships/oleObject" Target="file:///\\cbc.local\departments\Directorate%20of%20Resources\Accountancy\Final%20Accounts\2025-26\Statement%20Tables%2025-26\Notes%20to%20the%20Accounts%20Spreadsheet%2025-26.xlsx!43%20Pens%20Res!R2C2:R11C4" TargetMode="External"/><Relationship Id="rId182" Type="http://schemas.openxmlformats.org/officeDocument/2006/relationships/oleObject" Target="file:///\\cbc.local\departments\Directorate%20of%20Resources\Accountancy\Final%20Accounts\2025-26\Statement%20Tables%2025-26\Notes%20to%20the%20Accounts%20Spreadsheet%2025-26.xlsx!51%20C%20Flow%20Financing!R2C2:R7C4" TargetMode="External"/><Relationship Id="rId187" Type="http://schemas.openxmlformats.org/officeDocument/2006/relationships/image" Target="media/image89.emf"/><Relationship Id="rId217" Type="http://schemas.openxmlformats.org/officeDocument/2006/relationships/image" Target="media/image103.e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file:///\\cbc.local\departments\Directorate%20of%20Resources\Accountancy\Final%20Accounts\2025-26\Statement%20Tables%2025-26\Collection%20Fund%20&amp;%20Notes%2025-26.xlsx!1%20C%20Tax!R2C2:R14C5" TargetMode="External"/><Relationship Id="rId23" Type="http://schemas.openxmlformats.org/officeDocument/2006/relationships/hyperlink" Target="file:///\\cbc.local\departments\Directorate%20of%20Resources\Accountancy\Final%20Accounts\2024-25\Core%20Statements%2024-25.xlsx" TargetMode="External"/><Relationship Id="rId28" Type="http://schemas.openxmlformats.org/officeDocument/2006/relationships/image" Target="media/image11.emf"/><Relationship Id="rId49" Type="http://schemas.openxmlformats.org/officeDocument/2006/relationships/oleObject" Target="file:///\\cbc.local\departments\Directorate%20of%20Resources\Accountancy\Final%20Accounts\2025-26\Statement%20Tables%2025-26\Notes%20to%20the%20Accounts%20Spreadsheet%2025-26.xlsx!15%20Remuneration%20(2)!R2C2:R12C8" TargetMode="External"/><Relationship Id="rId114" Type="http://schemas.openxmlformats.org/officeDocument/2006/relationships/image" Target="media/image53.emf"/><Relationship Id="rId119" Type="http://schemas.openxmlformats.org/officeDocument/2006/relationships/oleObject" Target="file:///\\cbc.local\departments\Directorate%20of%20Resources\Accountancy\Final%20Accounts\2025-26\Statement%20Tables%2025-26\Notes%20to%20the%20Accounts%20Spreadsheet%2025-26.xlsx!29%20Leases!R25C2:R31C4" TargetMode="External"/><Relationship Id="rId44" Type="http://schemas.openxmlformats.org/officeDocument/2006/relationships/image" Target="media/image19.emf"/><Relationship Id="rId60" Type="http://schemas.openxmlformats.org/officeDocument/2006/relationships/image" Target="media/image27.emf"/><Relationship Id="rId65" Type="http://schemas.openxmlformats.org/officeDocument/2006/relationships/oleObject" Target="file:///\\cbc.local\departments\Directorate%20of%20Resources\Accountancy\Final%20Accounts\2025-26\Statement%20Tables%2025-26\Notes%20to%20the%20Accounts%20Spreadsheet%2025-26.xlsx!16%20Pensions%20(3)!R2C2:R33C10" TargetMode="External"/><Relationship Id="rId81" Type="http://schemas.openxmlformats.org/officeDocument/2006/relationships/image" Target="media/image37.emf"/><Relationship Id="rId86" Type="http://schemas.openxmlformats.org/officeDocument/2006/relationships/oleObject" Target="file:///\\cbc.local\departments\Directorate%20of%20Resources\Accountancy\Final%20Accounts\2025-26\Statement%20Tables%2025-26\Notes%20to%20the%20Accounts%20Spreadsheet%2025-26.xlsx!21%20Surplus!R2C2:R6C5" TargetMode="External"/><Relationship Id="rId130" Type="http://schemas.openxmlformats.org/officeDocument/2006/relationships/oleObject" Target="file:///\\cbc.local\departments\Directorate%20of%20Resources\Accountancy\Final%20Accounts\2025-26\Statement%20Tables%2025-26\Notes%20to%20the%20Accounts%20Spreadsheet%2025-26.xlsx!33%20Creditors!R2C2:R8C4" TargetMode="External"/><Relationship Id="rId135" Type="http://schemas.openxmlformats.org/officeDocument/2006/relationships/image" Target="media/image63.emf"/><Relationship Id="rId151" Type="http://schemas.openxmlformats.org/officeDocument/2006/relationships/image" Target="media/image71.emf"/><Relationship Id="rId156" Type="http://schemas.openxmlformats.org/officeDocument/2006/relationships/oleObject" Target="file:///\\cbc.local\departments\Directorate%20of%20Resources\Accountancy\Final%20Accounts\2025-26\Statement%20Tables%2025-26\Copy%20of%20Notes%20to%20the%20Accounts%20Spreadsheet%2025-26%20v2.xlsx!39%20Usable%20Res!R15C2:R22C4" TargetMode="External"/><Relationship Id="rId177" Type="http://schemas.openxmlformats.org/officeDocument/2006/relationships/image" Target="media/image84.emf"/><Relationship Id="rId198" Type="http://schemas.openxmlformats.org/officeDocument/2006/relationships/oleObject" Target="file:///\\cbc.local\departments\Directorate%20of%20Resources\Accountancy\Final%20Accounts\2025-26\Statement%20Tables%2025-26\HRA%20&amp;%20Notes%20Spreadsheet%2025-26.xlsx!5%20Cap%20Exp!R2C2:R9C5" TargetMode="External"/><Relationship Id="rId172" Type="http://schemas.openxmlformats.org/officeDocument/2006/relationships/oleObject" Target="file:///\\cbc.local\departments\Directorate%20of%20Resources\Accountancy\Final%20Accounts\2025-26\Statement%20Tables%2025-26\Copy%20of%20Notes%20to%20the%20Accounts%20Spreadsheet%2025-26%20v2.xlsx!46%20Acc%20Ab%20AA!R2C2:R7C4" TargetMode="External"/><Relationship Id="rId193" Type="http://schemas.openxmlformats.org/officeDocument/2006/relationships/image" Target="media/image92.emf"/><Relationship Id="rId202" Type="http://schemas.openxmlformats.org/officeDocument/2006/relationships/oleObject" Target="file:///\\cbc.local\departments\Directorate%20of%20Resources\Accountancy\Final%20Accounts\2025-26\Statement%20Tables%2025-26\HRA%20&amp;%20Notes%20Spreadsheet%2025-26.xlsx!7%20Depreciation!R2C2:R7C4" TargetMode="External"/><Relationship Id="rId207"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oleObject" Target="file:///\\cbc.local\departments\Directorate%20of%20Resources\Accountancy\Final%20Accounts\2025-26\Statement%20Tables%2025-26\Core%20Statements%2025-26.xlsx!MIRS!R2C2:R12C11" TargetMode="External"/><Relationship Id="rId39" Type="http://schemas.openxmlformats.org/officeDocument/2006/relationships/oleObject" Target="file:///\\cbc.local\departments\Directorate%20of%20Resources\Accountancy\Final%20Accounts\2025-26\Statement%20Tables%2025-26\Notes%20to%20the%20Accounts%20Spreadsheet%2025-26.xlsx!11%20Earmarked%20Reserves!R2C2:R51C9" TargetMode="External"/><Relationship Id="rId109" Type="http://schemas.openxmlformats.org/officeDocument/2006/relationships/oleObject" Target="file:///\\cbc.local\departments\Directorate%20of%20Resources\Accountancy\Final%20Accounts\2025-26\Statement%20Tables%2025-26\Notes%20to%20the%20Accounts%20Spreadsheet%2025-26.xlsx!25%20Investment%20(3)!R2C2:R11C4" TargetMode="External"/><Relationship Id="rId34" Type="http://schemas.openxmlformats.org/officeDocument/2006/relationships/image" Target="media/image14.emf"/><Relationship Id="rId50" Type="http://schemas.openxmlformats.org/officeDocument/2006/relationships/image" Target="media/image22.emf"/><Relationship Id="rId55" Type="http://schemas.openxmlformats.org/officeDocument/2006/relationships/oleObject" Target="file:///\\cbc.local\departments\Directorate%20of%20Resources\Accountancy\Final%20Accounts\2025-26\Statement%20Tables%2025-26\Notes%20to%20the%20Accounts%20Spreadsheet%2025-26.xlsx!16%20Pensions%20(1)!R2C2:R19C4" TargetMode="External"/><Relationship Id="rId76" Type="http://schemas.openxmlformats.org/officeDocument/2006/relationships/oleObject" Target="file:///\\cbc.local\departments\Directorate%20of%20Resources\Accountancy\Final%20Accounts\2025-26\Statement%20Tables%2025-26\Notes%20to%20the%20Accounts%20Spreadsheet%2025-26.xlsx!18%20Grants!R16C2:R35C4" TargetMode="External"/><Relationship Id="rId97" Type="http://schemas.openxmlformats.org/officeDocument/2006/relationships/oleObject" Target="file:///\\cbc.local\departments\Directorate%20of%20Resources\Accountancy\Final%20Accounts\2025-26\Statement%20Tables%2025-26\Notes%20to%20the%20Accounts%20Spreadsheet%2025-26.xlsx!23%20Commitments!R2C2:R9C4" TargetMode="External"/><Relationship Id="rId104" Type="http://schemas.openxmlformats.org/officeDocument/2006/relationships/image" Target="media/image48.emf"/><Relationship Id="rId120" Type="http://schemas.openxmlformats.org/officeDocument/2006/relationships/image" Target="media/image56.emf"/><Relationship Id="rId125" Type="http://schemas.openxmlformats.org/officeDocument/2006/relationships/oleObject" Target="file:///\\cbc.local\departments\Directorate%20of%20Resources\Accountancy\Final%20Accounts\2025-26\Statement%20Tables%2025-26\Notes%20to%20the%20Accounts%20Spreadsheet%2025-26.xlsx!31%20Cash!R2C2:R8C4" TargetMode="External"/><Relationship Id="rId141" Type="http://schemas.openxmlformats.org/officeDocument/2006/relationships/image" Target="media/image66.emf"/><Relationship Id="rId146" Type="http://schemas.openxmlformats.org/officeDocument/2006/relationships/oleObject" Target="file:///\\cbc.local\departments\Directorate%20of%20Resources\Accountancy\Final%20Accounts\2025-26\Statement%20Tables%2025-26\Notes%20to%20the%20Accounts%20Spreadsheet%2025-26.xlsx!37%20Fair%20Value%20(3)!R9C2:R14C5" TargetMode="External"/><Relationship Id="rId167" Type="http://schemas.openxmlformats.org/officeDocument/2006/relationships/image" Target="media/image79.emf"/><Relationship Id="rId188" Type="http://schemas.openxmlformats.org/officeDocument/2006/relationships/oleObject" Target="file:///\\cbc.local\departments\Directorate%20of%20Resources\Accountancy\Final%20Accounts\2025-26\Statement%20Tables%2025-26\Copy%20of%20Notes%20to%20the%20Accounts%20Spreadsheet%2025-26%20v2.xlsx!53%20Crem%20(3)!R2C2:R24C4" TargetMode="External"/><Relationship Id="rId7" Type="http://schemas.openxmlformats.org/officeDocument/2006/relationships/endnotes" Target="endnotes.xml"/><Relationship Id="rId71" Type="http://schemas.openxmlformats.org/officeDocument/2006/relationships/oleObject" Target="file:///\\cbc.local\departments\Directorate%20of%20Resources\Accountancy\Final%20Accounts\2025-26\Statement%20Tables%2025-26\Notes%20to%20the%20Accounts%20Spreadsheet%2025-26.xlsx!17%20Members!R2C2:R7C4" TargetMode="External"/><Relationship Id="rId92" Type="http://schemas.openxmlformats.org/officeDocument/2006/relationships/oleObject" Target="file:///\\cbc.local\departments\Directorate%20of%20Resources\Accountancy\Final%20Accounts\2025-26\Statement%20Tables%2025-26\Notes%20to%20the%20Accounts%20Spreadsheet%2025-26.xlsx!21%20Surplus!R18C2:R19C6" TargetMode="External"/><Relationship Id="rId162" Type="http://schemas.openxmlformats.org/officeDocument/2006/relationships/oleObject" Target="file:///\\cbc.local\departments\Directorate%20of%20Resources\Accountancy\Final%20Accounts\2025-26\Statement%20Tables%2025-26\Notes%20to%20the%20Accounts%20Spreadsheet%2025-26.xlsx!41%20Reval%20Res!R2C2:R9C4" TargetMode="External"/><Relationship Id="rId183" Type="http://schemas.openxmlformats.org/officeDocument/2006/relationships/image" Target="media/image87.emf"/><Relationship Id="rId213" Type="http://schemas.openxmlformats.org/officeDocument/2006/relationships/image" Target="media/image101.emf"/><Relationship Id="rId218" Type="http://schemas.openxmlformats.org/officeDocument/2006/relationships/oleObject" Target="file:///\\cbc.local\departments\Directorate%20of%20Resources\Accountancy\Final%20Accounts\2025-26\Statement%20Tables%2025-26\Collection%20Fund%20&amp;%20Notes%2025-26.xlsx!5%20Impairment!R1C2:R7C6" TargetMode="External"/><Relationship Id="rId2" Type="http://schemas.openxmlformats.org/officeDocument/2006/relationships/numbering" Target="numbering.xml"/><Relationship Id="rId29" Type="http://schemas.openxmlformats.org/officeDocument/2006/relationships/oleObject" Target="file:///\\cbc.local\departments\Directorate%20of%20Resources\Accountancy\Final%20Accounts\2025-26\Statement%20Tables%2025-26\Notes%20to%20the%20Accounts%20Spreadsheet%2025-26.xlsx!7A%20Note%20to%20EFA!R2C2:R34C6" TargetMode="External"/><Relationship Id="rId24" Type="http://schemas.openxmlformats.org/officeDocument/2006/relationships/image" Target="media/image9.emf"/><Relationship Id="rId40" Type="http://schemas.openxmlformats.org/officeDocument/2006/relationships/image" Target="media/image17.emf"/><Relationship Id="rId45" Type="http://schemas.openxmlformats.org/officeDocument/2006/relationships/oleObject" Target="file:///\\cbc.local\departments\Directorate%20of%20Resources\Accountancy\Final%20Accounts\2025-26\Statement%20Tables%2025-26\Notes%20to%20the%20Accounts%20Spreadsheet%2025-26.xlsx!14%20Taxation!R2C2:R8C4" TargetMode="External"/><Relationship Id="rId66" Type="http://schemas.openxmlformats.org/officeDocument/2006/relationships/image" Target="media/image30.emf"/><Relationship Id="rId87" Type="http://schemas.openxmlformats.org/officeDocument/2006/relationships/image" Target="media/image40.emf"/><Relationship Id="rId110" Type="http://schemas.openxmlformats.org/officeDocument/2006/relationships/image" Target="media/image51.emf"/><Relationship Id="rId115" Type="http://schemas.openxmlformats.org/officeDocument/2006/relationships/oleObject" Target="file:///\\cbc.local\departments\Directorate%20of%20Resources\Accountancy\Final%20Accounts\2025-26\Statement%20Tables%2025-26\Notes%20to%20the%20Accounts%20Spreadsheet%2025-26.xlsx!26%20Valuations!R14C2:R24C10" TargetMode="External"/><Relationship Id="rId131" Type="http://schemas.openxmlformats.org/officeDocument/2006/relationships/image" Target="media/image61.emf"/><Relationship Id="rId136" Type="http://schemas.openxmlformats.org/officeDocument/2006/relationships/oleObject" Target="file:///\\cbc.local\departments\Directorate%20of%20Resources\Accountancy\Final%20Accounts\2025-26\Statement%20Tables%2025-26\Notes%20to%20the%20Accounts%20Spreadsheet%2025-26.xlsx!36%20Fin%20Inst%20I&amp;E!R2C2:R13C6" TargetMode="External"/><Relationship Id="rId157" Type="http://schemas.openxmlformats.org/officeDocument/2006/relationships/image" Target="media/image74.emf"/><Relationship Id="rId178" Type="http://schemas.openxmlformats.org/officeDocument/2006/relationships/oleObject" Target="file:///\\cbc.local\departments\Directorate%20of%20Resources\Accountancy\Final%20Accounts\2025-26\Statement%20Tables%2025-26\Notes%20to%20the%20Accounts%20Spreadsheet%2025-26.xlsx!49%20C%20Flow%20Operating!R2C2:R6C4" TargetMode="External"/><Relationship Id="rId61" Type="http://schemas.openxmlformats.org/officeDocument/2006/relationships/oleObject" Target="file:///\\cbc.local\departments\Directorate%20of%20Resources\Accountancy\Final%20Accounts\2025-26\Statement%20Tables%2025-26\Notes%20to%20the%20Accounts%20Spreadsheet%2025-26.xlsx!16%20Pensions%20(2)!R14C2:R26C4" TargetMode="External"/><Relationship Id="rId82" Type="http://schemas.openxmlformats.org/officeDocument/2006/relationships/oleObject" Target="file:///\\cbc.local\departments\Directorate%20of%20Resources\Accountancy\Final%20Accounts\2025-26\Statement%20Tables%2025-26\Notes%20to%20the%20Accounts%20Spreadsheet%2025-26.xlsx!20%20PPE!R2C2:R26C10" TargetMode="External"/><Relationship Id="rId152" Type="http://schemas.openxmlformats.org/officeDocument/2006/relationships/oleObject" Target="file:///\\cbc.local\departments\Directorate%20of%20Resources\Accountancy\Final%20Accounts\2025-26\Statement%20Tables%2025-26\Notes%20to%20the%20Accounts%20Spreadsheet%2025-26.xlsx!38%20Interest!R2C2:R10C3" TargetMode="External"/><Relationship Id="rId173" Type="http://schemas.openxmlformats.org/officeDocument/2006/relationships/image" Target="media/image82.emf"/><Relationship Id="rId194" Type="http://schemas.openxmlformats.org/officeDocument/2006/relationships/oleObject" Target="file:///\\cbc.local\departments\Directorate%20of%20Resources\Accountancy\Final%20Accounts\2025-26\Statement%20Tables%2025-26\HRA%20&amp;%20Notes%20Spreadsheet%2025-26.xlsx!2%20Housing%20Stock!R2C2:R8C4" TargetMode="External"/><Relationship Id="rId199" Type="http://schemas.openxmlformats.org/officeDocument/2006/relationships/image" Target="media/image95.emf"/><Relationship Id="rId203" Type="http://schemas.openxmlformats.org/officeDocument/2006/relationships/image" Target="media/image97.emf"/><Relationship Id="rId208" Type="http://schemas.openxmlformats.org/officeDocument/2006/relationships/footer" Target="footer4.xml"/><Relationship Id="rId19" Type="http://schemas.openxmlformats.org/officeDocument/2006/relationships/image" Target="media/image7.emf"/><Relationship Id="rId14" Type="http://schemas.openxmlformats.org/officeDocument/2006/relationships/image" Target="media/image4.jpeg"/><Relationship Id="rId30" Type="http://schemas.openxmlformats.org/officeDocument/2006/relationships/image" Target="media/image12.emf"/><Relationship Id="rId35" Type="http://schemas.openxmlformats.org/officeDocument/2006/relationships/oleObject" Target="file:///\\cbc.local\departments\Directorate%20of%20Resources\Accountancy\Final%20Accounts\2025-26\Statement%20Tables%2025-26\Notes%20to%20the%20Accounts%20Spreadsheet%2025-26.xlsx!10%20MIRS%20Note!R2C2:R37C8" TargetMode="External"/><Relationship Id="rId56" Type="http://schemas.openxmlformats.org/officeDocument/2006/relationships/image" Target="media/image25.emf"/><Relationship Id="rId77" Type="http://schemas.openxmlformats.org/officeDocument/2006/relationships/image" Target="media/image35.emf"/><Relationship Id="rId100" Type="http://schemas.openxmlformats.org/officeDocument/2006/relationships/image" Target="media/image46.emf"/><Relationship Id="rId105" Type="http://schemas.openxmlformats.org/officeDocument/2006/relationships/oleObject" Target="file:///\\cbc.local\departments\Directorate%20of%20Resources\Accountancy\Final%20Accounts\2025-26\Statement%20Tables%2025-26\Notes%20to%20the%20Accounts%20Spreadsheet%2025-26.xlsx!25%20Investment%20(2)!R2C2:R8C5" TargetMode="External"/><Relationship Id="rId126" Type="http://schemas.openxmlformats.org/officeDocument/2006/relationships/hyperlink" Target="https://chesterfieldcouncil-my.sharepoint.com/:x:/g/personal/barry_stratfull_chesterfield_gov_uk/IQABm5Rs6hKuSJHnqyzdHvvVAeFnum1N-oJsa_dQncnmdOw" TargetMode="External"/><Relationship Id="rId147" Type="http://schemas.openxmlformats.org/officeDocument/2006/relationships/image" Target="media/image69.emf"/><Relationship Id="rId168" Type="http://schemas.openxmlformats.org/officeDocument/2006/relationships/oleObject" Target="file:///\\cbc.local\departments\Directorate%20of%20Resources\Accountancy\Final%20Accounts\2025-26\Statement%20Tables%2025-26\Notes%20to%20the%20Accounts%20Spreadsheet%2025-26.xlsx!44%20Def%20Cap!R2C2:R7C4" TargetMode="External"/><Relationship Id="rId8" Type="http://schemas.openxmlformats.org/officeDocument/2006/relationships/image" Target="media/image1.png"/><Relationship Id="rId51" Type="http://schemas.openxmlformats.org/officeDocument/2006/relationships/oleObject" Target="file:///\\cbc.local\departments\Directorate%20of%20Resources\Accountancy\Final%20Accounts\2025-26\Statement%20Tables%2025-26\Notes%20to%20the%20Accounts%20Spreadsheet%2025-26.xlsx!15%20Remuneration%20(2)!R16C2:R26C8" TargetMode="External"/><Relationship Id="rId72" Type="http://schemas.openxmlformats.org/officeDocument/2006/relationships/hyperlink" Target="http://www.chesterfield.gov.uk" TargetMode="External"/><Relationship Id="rId93" Type="http://schemas.openxmlformats.org/officeDocument/2006/relationships/image" Target="media/image43.emf"/><Relationship Id="rId98" Type="http://schemas.openxmlformats.org/officeDocument/2006/relationships/image" Target="media/image45.emf"/><Relationship Id="rId121" Type="http://schemas.openxmlformats.org/officeDocument/2006/relationships/oleObject" Target="file:///\\cbc.local\departments\Directorate%20of%20Resources\Accountancy\Final%20Accounts\2025-26\Statement%20Tables%2025-26\Copy%20of%20Notes%20to%20the%20Accounts%20Spreadsheet%2025-26%20v2.xlsx!29%20Leases!R25C2:R31C4" TargetMode="External"/><Relationship Id="rId142" Type="http://schemas.openxmlformats.org/officeDocument/2006/relationships/oleObject" Target="file:///\\cbc.local\departments\Directorate%20of%20Resources\Accountancy\Final%20Accounts\2025-26\Statement%20Tables%2025-26\Notes%20to%20the%20Accounts%20Spreadsheet%2025-26.xlsx!37%20Fair%20Value%20(2)!R9C2:R12C6" TargetMode="External"/><Relationship Id="rId163" Type="http://schemas.openxmlformats.org/officeDocument/2006/relationships/image" Target="media/image77.emf"/><Relationship Id="rId184" Type="http://schemas.openxmlformats.org/officeDocument/2006/relationships/oleObject" Target="file:///\\cbc.local\departments\Directorate%20of%20Resources\Accountancy\Final%20Accounts\2025-26\Statement%20Tables%2025-26\Notes%20to%20the%20Accounts%20Spreadsheet%2025-26.xlsx!53%20Crem!R2C2:R4C5" TargetMode="External"/><Relationship Id="rId189" Type="http://schemas.openxmlformats.org/officeDocument/2006/relationships/image" Target="media/image90.emf"/><Relationship Id="rId219" Type="http://schemas.openxmlformats.org/officeDocument/2006/relationships/image" Target="media/image104.emf"/><Relationship Id="rId3" Type="http://schemas.openxmlformats.org/officeDocument/2006/relationships/styles" Target="styles.xml"/><Relationship Id="rId214" Type="http://schemas.openxmlformats.org/officeDocument/2006/relationships/oleObject" Target="file:///\\cbc.local\departments\Directorate%20of%20Resources\Accountancy\Final%20Accounts\2025-26\Statement%20Tables%2025-26\Collection%20Fund%20&amp;%20Notes%2025-26.xlsx!3%20C%20Tax%20Surplus!R2C2:R9C4" TargetMode="External"/><Relationship Id="rId25" Type="http://schemas.openxmlformats.org/officeDocument/2006/relationships/oleObject" Target="file:///\\cbc.local\departments\Directorate%20of%20Resources\Accountancy\Final%20Accounts\2025-26\Statement%20Tables%2025-26\Core%20Statements%2025-26.xlsx!Cash%20Flow!R2C2:R12C4" TargetMode="External"/><Relationship Id="rId46" Type="http://schemas.openxmlformats.org/officeDocument/2006/relationships/image" Target="media/image20.emf"/><Relationship Id="rId67" Type="http://schemas.openxmlformats.org/officeDocument/2006/relationships/oleObject" Target="file:///\\cbc.local\departments\Directorate%20of%20Resources\Accountancy\Final%20Accounts\2025-26\Statement%20Tables%2025-26\Notes%20to%20the%20Accounts%20Spreadsheet%2025-26.xlsx!16%20Pensions%20(4)!R2C2:R15C4" TargetMode="External"/><Relationship Id="rId116" Type="http://schemas.openxmlformats.org/officeDocument/2006/relationships/image" Target="media/image54.emf"/><Relationship Id="rId137" Type="http://schemas.openxmlformats.org/officeDocument/2006/relationships/image" Target="media/image64.emf"/><Relationship Id="rId158" Type="http://schemas.openxmlformats.org/officeDocument/2006/relationships/oleObject" Target="file:///\\cbc.local\departments\Directorate%20of%20Resources\Accountancy\Final%20Accounts\2025-26\Statement%20Tables%2025-26\Notes%20to%20the%20Accounts%20Spreadsheet%2025-26.xlsx!39%20Usable%20Res!R25C2:R31C4" TargetMode="External"/><Relationship Id="rId20" Type="http://schemas.openxmlformats.org/officeDocument/2006/relationships/oleObject" Target="file:///\\cbc.local\departments\Directorate%20of%20Resources\Accountancy\Final%20Accounts\2025-26\Statement%20Tables%2025-26\Core%20Statements%2025-26.xlsx!CIES!R2C2:R24C8" TargetMode="External"/><Relationship Id="rId41" Type="http://schemas.openxmlformats.org/officeDocument/2006/relationships/oleObject" Target="file:///\\cbc.local\departments\Directorate%20of%20Resources\Accountancy\Final%20Accounts\2025-26\Statement%20Tables%2025-26\Notes%20to%20the%20Accounts%20Spreadsheet%2025-26.xlsx!12%20Other%20Op%20Exp!R2C2:R9C4" TargetMode="External"/><Relationship Id="rId62" Type="http://schemas.openxmlformats.org/officeDocument/2006/relationships/image" Target="media/image28.emf"/><Relationship Id="rId83" Type="http://schemas.openxmlformats.org/officeDocument/2006/relationships/image" Target="media/image38.emf"/><Relationship Id="rId88" Type="http://schemas.openxmlformats.org/officeDocument/2006/relationships/oleObject" Target="file:///\\cbc.local\departments\Directorate%20of%20Resources\Accountancy\Final%20Accounts\2025-26\Statement%20Tables%2025-26\Notes%20to%20the%20Accounts%20Spreadsheet%2025-26.xlsx!21%20Surplus!R10C2:R14C5" TargetMode="External"/><Relationship Id="rId111" Type="http://schemas.openxmlformats.org/officeDocument/2006/relationships/oleObject" Target="file:///\\cbc.local\departments\Directorate%20of%20Resources\Accountancy\Final%20Accounts\2025-26\Statement%20Tables%2025-26\Notes%20to%20the%20Accounts%20Spreadsheet%2025-26.xlsx!25%20Investment%20(2)!R22C2:R24C6" TargetMode="External"/><Relationship Id="rId132" Type="http://schemas.openxmlformats.org/officeDocument/2006/relationships/oleObject" Target="file:///\\cbc.local\departments\Directorate%20of%20Resources\Accountancy\Final%20Accounts\2025-26\Statement%20Tables%2025-26\Notes%20to%20the%20Accounts%20Spreadsheet%2025-26.xlsx!34%20Provisions!R2C2:R15C6" TargetMode="External"/><Relationship Id="rId153" Type="http://schemas.openxmlformats.org/officeDocument/2006/relationships/image" Target="media/image72.emf"/><Relationship Id="rId174" Type="http://schemas.openxmlformats.org/officeDocument/2006/relationships/oleObject" Target="file:///\\cbc.local\departments\Directorate%20of%20Resources\Accountancy\Final%20Accounts\2025-26\Statement%20Tables%2025-26\Notes%20to%20the%20Accounts%20Spreadsheet%2025-26.xlsx!47%20C%20Flow%20Non%20Cash!R2C2:R12C4" TargetMode="External"/><Relationship Id="rId179" Type="http://schemas.openxmlformats.org/officeDocument/2006/relationships/image" Target="media/image85.emf"/><Relationship Id="rId195" Type="http://schemas.openxmlformats.org/officeDocument/2006/relationships/image" Target="media/image93.emf"/><Relationship Id="rId209" Type="http://schemas.openxmlformats.org/officeDocument/2006/relationships/image" Target="media/image99.emf"/><Relationship Id="rId190" Type="http://schemas.openxmlformats.org/officeDocument/2006/relationships/oleObject" Target="file:///\\cbc.local\departments\Directorate%20of%20Resources\Accountancy\Final%20Accounts\2025-26\Statement%20Tables%2025-26\HRA%20&amp;%20Notes%20Spreadsheet%2025-26.xlsx!HRA%20I&amp;E!R2C2:R29C5" TargetMode="External"/><Relationship Id="rId204" Type="http://schemas.openxmlformats.org/officeDocument/2006/relationships/oleObject" Target="file:///\\cbc.local\departments\Directorate%20of%20Resources\Accountancy\Final%20Accounts\2025-26\Statement%20Tables%2025-26\HRA%20&amp;%20Notes%20Spreadsheet%2025-26.xlsx!8%20REFCUS%20etc!R2C2:R10C4" TargetMode="External"/><Relationship Id="rId220" Type="http://schemas.openxmlformats.org/officeDocument/2006/relationships/oleObject" Target="file:///\\cbc.local\departments\Directorate%20of%20Resources\Accountancy\Final%20Accounts\2025-26\Statement%20Tables%2025-26\Collection%20Fund%20&amp;%20Notes%2025-26.xlsx!6%20Appeals!R1C2:R5C5" TargetMode="External"/><Relationship Id="rId15" Type="http://schemas.openxmlformats.org/officeDocument/2006/relationships/hyperlink" Target="https://www.chesterfield.gov.uk/media/jqwjt4fa/productivity-plan-2024-to-25.pdf" TargetMode="External"/><Relationship Id="rId36" Type="http://schemas.openxmlformats.org/officeDocument/2006/relationships/image" Target="media/image15.emf"/><Relationship Id="rId57" Type="http://schemas.openxmlformats.org/officeDocument/2006/relationships/oleObject" Target="file:///\\cbc.local\departments\Directorate%20of%20Resources\Accountancy\Final%20Accounts\2025-26\Statement%20Tables%2025-26\Notes%20to%20the%20Accounts%20Spreadsheet%2025-26.xlsx!16%20Pensions%20(1)!R23C2:R26C4" TargetMode="External"/><Relationship Id="rId106" Type="http://schemas.openxmlformats.org/officeDocument/2006/relationships/image" Target="media/image49.emf"/><Relationship Id="rId127" Type="http://schemas.openxmlformats.org/officeDocument/2006/relationships/image" Target="media/image59.emf"/><Relationship Id="rId10" Type="http://schemas.openxmlformats.org/officeDocument/2006/relationships/footer" Target="footer1.xml"/><Relationship Id="rId31" Type="http://schemas.openxmlformats.org/officeDocument/2006/relationships/oleObject" Target="file:///\\cbc.local\departments\Directorate%20of%20Resources\Accountancy\Final%20Accounts\2025-26\Statement%20Tables%2025-26\Notes%20to%20the%20Accounts%20Spreadsheet%2025-26.xlsx!8%20Segmental%20Inc!R2C2:R14C4" TargetMode="External"/><Relationship Id="rId52" Type="http://schemas.openxmlformats.org/officeDocument/2006/relationships/image" Target="media/image23.emf"/><Relationship Id="rId73" Type="http://schemas.openxmlformats.org/officeDocument/2006/relationships/image" Target="media/image33.emf"/><Relationship Id="rId78" Type="http://schemas.openxmlformats.org/officeDocument/2006/relationships/oleObject" Target="file:///\\cbc.local\departments\Directorate%20of%20Resources\Accountancy\Final%20Accounts\2025-26\Statement%20Tables%2025-26\Notes%20to%20the%20Accounts%20Spreadsheet%2025-26.xlsx!18%20Grants!R38C2:R47C4" TargetMode="External"/><Relationship Id="rId94" Type="http://schemas.openxmlformats.org/officeDocument/2006/relationships/oleObject" Target="file:///\\cbc.local\departments\Directorate%20of%20Resources\Accountancy\Final%20Accounts\2025-26\Statement%20Tables%2025-26\Notes%20to%20the%20Accounts%20Spreadsheet%2025-26.xlsx!22%20Heritage!R1C2:R15C8" TargetMode="External"/><Relationship Id="rId99" Type="http://schemas.openxmlformats.org/officeDocument/2006/relationships/oleObject" Target="file:///\\cbc.local\departments\Directorate%20of%20Resources\Accountancy\Final%20Accounts\2025-26\Statement%20Tables%2025-26\Notes%20to%20the%20Accounts%20Spreadsheet%2025-26.xlsx!24%20CFR!R2C2:R27C4" TargetMode="External"/><Relationship Id="rId101" Type="http://schemas.openxmlformats.org/officeDocument/2006/relationships/oleObject" Target="file:///\\cbc.local\departments\Directorate%20of%20Resources\Accountancy\Final%20Accounts\2025-26\Statement%20Tables%2025-26\Notes%20to%20the%20Accounts%20Spreadsheet%2025-26.xlsx!25%20Investment!R2C2:R6C4" TargetMode="External"/><Relationship Id="rId122" Type="http://schemas.openxmlformats.org/officeDocument/2006/relationships/image" Target="media/image57.emf"/><Relationship Id="rId143" Type="http://schemas.openxmlformats.org/officeDocument/2006/relationships/image" Target="media/image67.emf"/><Relationship Id="rId148" Type="http://schemas.openxmlformats.org/officeDocument/2006/relationships/oleObject" Target="file:///\\cbc.local\departments\Directorate%20of%20Resources\Accountancy\Final%20Accounts\2025-26\Statement%20Tables%2025-26\Notes%20to%20the%20Accounts%20Spreadsheet%2025-26.xlsx!38%20Credit%20Risk!R2C2:R8C3" TargetMode="External"/><Relationship Id="rId164" Type="http://schemas.openxmlformats.org/officeDocument/2006/relationships/oleObject" Target="file:///\\cbc.local\departments\Directorate%20of%20Resources\Accountancy\Final%20Accounts\2025-26\Statement%20Tables%2025-26\Notes%20to%20the%20Accounts%20Spreadsheet%2025-26.xlsx!42%20CAA!R2C2:R22C4" TargetMode="External"/><Relationship Id="rId169" Type="http://schemas.openxmlformats.org/officeDocument/2006/relationships/image" Target="media/image80.emf"/><Relationship Id="rId185" Type="http://schemas.openxmlformats.org/officeDocument/2006/relationships/image" Target="media/image88.emf"/><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oleObject" Target="file:///\\cbc.local\departments\Directorate%20of%20Resources\Accountancy\Final%20Accounts\2025-26\Statement%20Tables%2025-26\Notes%20to%20the%20Accounts%20Spreadsheet%2025-26.xlsx!50%20C%20Flow%20Invest!R2C2:R10C4" TargetMode="External"/><Relationship Id="rId210" Type="http://schemas.openxmlformats.org/officeDocument/2006/relationships/oleObject" Target="file:///\\cbc.local\departments\Directorate%20of%20Resources\Accountancy\Final%20Accounts\2025-26\Statement%20Tables%2025-26\Collection%20Fund%20&amp;%20Notes%2025-26.xlsx!Coll%20Fund!R2C2:R32C6" TargetMode="External"/><Relationship Id="rId215" Type="http://schemas.openxmlformats.org/officeDocument/2006/relationships/image" Target="media/image102.emf"/><Relationship Id="rId26" Type="http://schemas.openxmlformats.org/officeDocument/2006/relationships/image" Target="media/image10.emf"/><Relationship Id="rId47" Type="http://schemas.openxmlformats.org/officeDocument/2006/relationships/oleObject" Target="file:///\\cbc.local\departments\Directorate%20of%20Resources\Accountancy\Final%20Accounts\2025-26\Statement%20Tables%2025-26\Notes%20to%20the%20Accounts%20Spreadsheet%2025-26.xlsx!15%20Remuneration!R2C2:R21C4" TargetMode="External"/><Relationship Id="rId68" Type="http://schemas.openxmlformats.org/officeDocument/2006/relationships/image" Target="media/image31.emf"/><Relationship Id="rId89" Type="http://schemas.openxmlformats.org/officeDocument/2006/relationships/image" Target="media/image41.emf"/><Relationship Id="rId112" Type="http://schemas.openxmlformats.org/officeDocument/2006/relationships/image" Target="media/image52.emf"/><Relationship Id="rId133" Type="http://schemas.openxmlformats.org/officeDocument/2006/relationships/image" Target="media/image62.emf"/><Relationship Id="rId154" Type="http://schemas.openxmlformats.org/officeDocument/2006/relationships/oleObject" Target="file:///\\cbc.local\departments\Directorate%20of%20Resources\Accountancy\Final%20Accounts\2025-26\Statement%20Tables%2025-26\Notes%20to%20the%20Accounts%20Spreadsheet%2025-26.xlsx!39%20Usable%20Res!R2C2:R13C4" TargetMode="External"/><Relationship Id="rId175" Type="http://schemas.openxmlformats.org/officeDocument/2006/relationships/image" Target="media/image83.emf"/><Relationship Id="rId196" Type="http://schemas.openxmlformats.org/officeDocument/2006/relationships/oleObject" Target="file:///\\cbc.local\departments\Directorate%20of%20Resources\Accountancy\Final%20Accounts\2025-26\Statement%20Tables%2025-26\HRA%20&amp;%20Notes%20Spreadsheet%2025-26.xlsx!4%20Assets!R2C2:R12C4" TargetMode="External"/><Relationship Id="rId200" Type="http://schemas.openxmlformats.org/officeDocument/2006/relationships/oleObject" Target="file:///\\cbc.local\departments\Directorate%20of%20Resources\Accountancy\Final%20Accounts\2025-26\Statement%20Tables%2025-26\HRA%20&amp;%20Notes%20Spreadsheet%2025-26.xlsx!6%20Cap%20Receipts!R2C2:R6C4" TargetMode="External"/><Relationship Id="rId16" Type="http://schemas.openxmlformats.org/officeDocument/2006/relationships/image" Target="media/image5.jpeg"/><Relationship Id="rId221" Type="http://schemas.openxmlformats.org/officeDocument/2006/relationships/fontTable" Target="fontTable.xml"/><Relationship Id="rId37" Type="http://schemas.openxmlformats.org/officeDocument/2006/relationships/oleObject" Target="file:///\\cbc.local\departments\Directorate%20of%20Resources\Accountancy\Final%20Accounts\2025-26\Statement%20Tables%2025-26\Notes%20to%20the%20Accounts%20Spreadsheet%2025-26.xlsx!10%20MIRS%20Note!Print_Area" TargetMode="External"/><Relationship Id="rId58" Type="http://schemas.openxmlformats.org/officeDocument/2006/relationships/image" Target="media/image26.emf"/><Relationship Id="rId79" Type="http://schemas.openxmlformats.org/officeDocument/2006/relationships/image" Target="media/image36.emf"/><Relationship Id="rId102" Type="http://schemas.openxmlformats.org/officeDocument/2006/relationships/image" Target="media/image47.emf"/><Relationship Id="rId123" Type="http://schemas.openxmlformats.org/officeDocument/2006/relationships/oleObject" Target="file:///\\cbc.local\departments\Directorate%20of%20Resources\Accountancy\Final%20Accounts\2025-26\Statement%20Tables%2025-26\Notes%20to%20the%20Accounts%20Spreadsheet%2025-26.xlsx!30%20Debtors!R2C2:R8C4" TargetMode="External"/><Relationship Id="rId144" Type="http://schemas.openxmlformats.org/officeDocument/2006/relationships/oleObject" Target="file:///\\cbc.local\departments\Directorate%20of%20Resources\Accountancy\Final%20Accounts\2025-26\Statement%20Tables%2025-26\Notes%20to%20the%20Accounts%20Spreadsheet%2025-26.xlsx!37%20Fair%20Value%20(3)!R2C2:R6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9327-3271-4C4B-97FA-AB0F0DF4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114</Pages>
  <Words>33022</Words>
  <Characters>180962</Characters>
  <Application>Microsoft Office Word</Application>
  <DocSecurity>2</DocSecurity>
  <Lines>5837</Lines>
  <Paragraphs>1475</Paragraphs>
  <ScaleCrop>false</ScaleCrop>
  <HeadingPairs>
    <vt:vector size="2" baseType="variant">
      <vt:variant>
        <vt:lpstr>Title</vt:lpstr>
      </vt:variant>
      <vt:variant>
        <vt:i4>1</vt:i4>
      </vt:variant>
    </vt:vector>
  </HeadingPairs>
  <TitlesOfParts>
    <vt:vector size="1" baseType="lpstr">
      <vt:lpstr>EXPLANATORY  FOREWARD</vt:lpstr>
    </vt:vector>
  </TitlesOfParts>
  <Company>Chesterfield Borough Council</Company>
  <LinksUpToDate>false</LinksUpToDate>
  <CharactersWithSpaces>212509</CharactersWithSpaces>
  <SharedDoc>false</SharedDoc>
  <HLinks>
    <vt:vector size="24" baseType="variant">
      <vt:variant>
        <vt:i4>3866724</vt:i4>
      </vt:variant>
      <vt:variant>
        <vt:i4>132</vt:i4>
      </vt:variant>
      <vt:variant>
        <vt:i4>0</vt:i4>
      </vt:variant>
      <vt:variant>
        <vt:i4>5</vt:i4>
      </vt:variant>
      <vt:variant>
        <vt:lpwstr>http://www.chesterfieldarttrail.co.uk/</vt:lpwstr>
      </vt:variant>
      <vt:variant>
        <vt:lpwstr/>
      </vt:variant>
      <vt:variant>
        <vt:i4>2752557</vt:i4>
      </vt:variant>
      <vt:variant>
        <vt:i4>96</vt:i4>
      </vt:variant>
      <vt:variant>
        <vt:i4>0</vt:i4>
      </vt:variant>
      <vt:variant>
        <vt:i4>5</vt:i4>
      </vt:variant>
      <vt:variant>
        <vt:lpwstr>http://www.chesterfield.gov.uk/</vt:lpwstr>
      </vt:variant>
      <vt:variant>
        <vt:lpwstr/>
      </vt:variant>
      <vt:variant>
        <vt:i4>8061046</vt:i4>
      </vt:variant>
      <vt:variant>
        <vt:i4>6</vt:i4>
      </vt:variant>
      <vt:variant>
        <vt:i4>0</vt:i4>
      </vt:variant>
      <vt:variant>
        <vt:i4>5</vt:i4>
      </vt:variant>
      <vt:variant>
        <vt:lpwstr>https://www.chesterfield.gov.uk/media/jn3nuhv5/chesterfield-borough-council-peer-challenge-report-2021.pdf</vt:lpwstr>
      </vt:variant>
      <vt:variant>
        <vt:lpwstr/>
      </vt:variant>
      <vt:variant>
        <vt:i4>8257569</vt:i4>
      </vt:variant>
      <vt:variant>
        <vt:i4>3</vt:i4>
      </vt:variant>
      <vt:variant>
        <vt:i4>0</vt:i4>
      </vt:variant>
      <vt:variant>
        <vt:i4>5</vt:i4>
      </vt:variant>
      <vt:variant>
        <vt:lpwstr>https://www.chesterfield.gov.uk/media/jqwjt4fa/productivity-plan-2024-to-25.pdf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FOREWARD</dc:title>
  <dc:subject/>
  <dc:creator>anita swift</dc:creator>
  <cp:keywords/>
  <cp:lastModifiedBy>Louise Collier</cp:lastModifiedBy>
  <cp:revision>4</cp:revision>
  <cp:lastPrinted>2025-09-01T14:17:00Z</cp:lastPrinted>
  <dcterms:created xsi:type="dcterms:W3CDTF">2026-06-30T16:15:00Z</dcterms:created>
  <dcterms:modified xsi:type="dcterms:W3CDTF">2026-06-30T17:02:00Z</dcterms:modified>
</cp:coreProperties>
</file>